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0" w:lineRule="atLeast"/>
        <w:jc w:val="left"/>
        <w:rPr>
          <w:rFonts w:hint="eastAsia" w:ascii="ＭＳ Ｐゴシック" w:hAnsi="ＭＳ Ｐゴシック" w:eastAsia="ＭＳ Ｐゴシック" w:cs="ＭＳ Ｐゴシック"/>
          <w:b/>
          <w:bCs/>
          <w:sz w:val="44"/>
          <w:szCs w:val="44"/>
          <w:u w:val="none"/>
          <w:lang w:eastAsia="ja-JP"/>
        </w:rPr>
      </w:pPr>
      <w:bookmarkStart w:id="0" w:name="_Hlk484065703"/>
      <w:r>
        <w:rPr>
          <w:rFonts w:hint="eastAsia" w:ascii="ＭＳ Ｐゴシック" w:hAnsi="ＭＳ Ｐゴシック" w:eastAsia="ＭＳ Ｐゴシック" w:cs="ＭＳ Ｐゴシック"/>
          <w:b/>
          <w:bCs/>
          <w:sz w:val="44"/>
          <w:szCs w:val="44"/>
          <w:u w:val="none"/>
          <w:lang w:eastAsia="ja-JP"/>
        </w:rPr>
        <w:t>資料：　えきまちブランディングの会</w:t>
      </w:r>
    </w:p>
    <w:p>
      <w:pPr>
        <w:spacing w:line="0" w:lineRule="atLeast"/>
        <w:rPr>
          <w:rFonts w:hint="eastAsia" w:ascii="ＭＳ Ｐゴシック" w:hAnsi="ＭＳ Ｐゴシック" w:eastAsia="ＭＳ Ｐゴシック" w:cs="ＭＳ Ｐゴシック"/>
          <w:b/>
          <w:bCs/>
          <w:sz w:val="24"/>
          <w:szCs w:val="24"/>
          <w:u w:val="none"/>
          <w:lang w:val="en-US" w:eastAsia="ja-JP"/>
        </w:rPr>
      </w:pPr>
    </w:p>
    <w:p>
      <w:pPr>
        <w:spacing w:line="0" w:lineRule="atLeast"/>
        <w:jc w:val="left"/>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24"/>
          <w:szCs w:val="24"/>
          <w:u w:val="none"/>
          <w:lang w:val="en-US" w:eastAsia="ja-JP"/>
        </w:rPr>
        <w:t>　　　　　　　　　　</w:t>
      </w:r>
      <w:r>
        <w:rPr>
          <w:rFonts w:hint="eastAsia" w:ascii="ＭＳ Ｐゴシック" w:hAnsi="ＭＳ Ｐゴシック" w:eastAsia="ＭＳ Ｐゴシック" w:cs="ＭＳ Ｐゴシック"/>
          <w:b/>
          <w:bCs/>
          <w:sz w:val="32"/>
          <w:szCs w:val="32"/>
          <w:u w:val="none"/>
          <w:lang w:val="en-US" w:eastAsia="ja-JP"/>
        </w:rPr>
        <w:t>　　　　　　目次：</w:t>
      </w:r>
    </w:p>
    <w:p>
      <w:pPr>
        <w:spacing w:line="0" w:lineRule="atLeast"/>
        <w:rPr>
          <w:rFonts w:hint="eastAsia" w:ascii="ＭＳ Ｐゴシック" w:hAnsi="ＭＳ Ｐゴシック" w:eastAsia="ＭＳ Ｐゴシック" w:cs="ＭＳ Ｐゴシック"/>
          <w:b/>
          <w:bCs/>
          <w:sz w:val="32"/>
          <w:szCs w:val="32"/>
          <w:u w:val="single"/>
          <w:lang w:val="en-US" w:eastAsia="ja-JP"/>
        </w:rPr>
      </w:pPr>
    </w:p>
    <w:p>
      <w:pPr>
        <w:numPr>
          <w:ilvl w:val="0"/>
          <w:numId w:val="1"/>
        </w:numPr>
        <w:spacing w:line="0" w:lineRule="atLeast"/>
        <w:ind w:left="0" w:leftChars="0" w:firstLine="840" w:firstLineChars="0"/>
        <w:rPr>
          <w:rFonts w:hint="eastAsia" w:ascii="ＭＳ Ｐゴシック" w:hAnsi="ＭＳ Ｐゴシック" w:eastAsia="ＭＳ Ｐゴシック" w:cs="ＭＳ Ｐゴシック"/>
          <w:b/>
          <w:bCs/>
          <w:sz w:val="32"/>
          <w:szCs w:val="32"/>
          <w:u w:val="none"/>
          <w:lang w:eastAsia="ja-JP"/>
        </w:rPr>
      </w:pPr>
      <w:r>
        <w:rPr>
          <w:rFonts w:hint="eastAsia" w:ascii="ＭＳ Ｐゴシック" w:hAnsi="ＭＳ Ｐゴシック" w:eastAsia="ＭＳ Ｐゴシック" w:cs="ＭＳ Ｐゴシック"/>
          <w:b/>
          <w:bCs/>
          <w:sz w:val="32"/>
          <w:szCs w:val="32"/>
          <w:u w:val="none"/>
          <w:lang w:eastAsia="ja-JP"/>
        </w:rPr>
        <w:t>京成本線沿線まちづくりビジョン抜粋</w:t>
      </w:r>
    </w:p>
    <w:p>
      <w:pPr>
        <w:numPr>
          <w:ilvl w:val="0"/>
          <w:numId w:val="1"/>
        </w:numPr>
        <w:spacing w:line="0" w:lineRule="atLeast"/>
        <w:ind w:left="0" w:leftChars="0" w:firstLine="84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まちづくり成功事例の研究</w:t>
      </w:r>
    </w:p>
    <w:p>
      <w:pPr>
        <w:numPr>
          <w:ilvl w:val="0"/>
          <w:numId w:val="2"/>
        </w:numPr>
        <w:spacing w:line="0" w:lineRule="atLeast"/>
        <w:ind w:left="1001" w:leftChars="0" w:firstLine="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流山市</w:t>
      </w:r>
    </w:p>
    <w:p>
      <w:pPr>
        <w:numPr>
          <w:ilvl w:val="0"/>
          <w:numId w:val="2"/>
        </w:numPr>
        <w:spacing w:line="0" w:lineRule="atLeast"/>
        <w:ind w:left="1001" w:leftChars="0" w:firstLine="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明石市</w:t>
      </w:r>
    </w:p>
    <w:p>
      <w:pPr>
        <w:numPr>
          <w:ilvl w:val="0"/>
          <w:numId w:val="2"/>
        </w:numPr>
        <w:spacing w:line="0" w:lineRule="atLeast"/>
        <w:ind w:left="1001" w:leftChars="0" w:firstLine="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国土交通省　市街地整備2.0</w:t>
      </w:r>
    </w:p>
    <w:p>
      <w:pPr>
        <w:numPr>
          <w:ilvl w:val="0"/>
          <w:numId w:val="2"/>
        </w:numPr>
        <w:spacing w:line="0" w:lineRule="atLeast"/>
        <w:ind w:left="1001" w:leftChars="0" w:firstLine="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国土交通省　駅まちデザイン検討会</w:t>
      </w:r>
    </w:p>
    <w:p>
      <w:pPr>
        <w:numPr>
          <w:ilvl w:val="0"/>
          <w:numId w:val="1"/>
        </w:numPr>
        <w:spacing w:line="0" w:lineRule="atLeast"/>
        <w:ind w:left="0" w:leftChars="0" w:firstLine="84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マーケティングおよびブランディング戦略の研究と適用</w:t>
      </w:r>
    </w:p>
    <w:p>
      <w:pPr>
        <w:numPr>
          <w:ilvl w:val="0"/>
          <w:numId w:val="1"/>
        </w:numPr>
        <w:spacing w:line="0" w:lineRule="atLeast"/>
        <w:ind w:left="0" w:leftChars="0" w:firstLine="840" w:firstLineChars="0"/>
        <w:rPr>
          <w:rFonts w:hint="eastAsia" w:ascii="ＭＳ Ｐゴシック" w:hAnsi="ＭＳ Ｐゴシック" w:eastAsia="ＭＳ Ｐゴシック" w:cs="ＭＳ Ｐゴシック"/>
          <w:b/>
          <w:bCs/>
          <w:sz w:val="32"/>
          <w:szCs w:val="32"/>
          <w:u w:val="none"/>
          <w:lang w:val="en-US" w:eastAsia="ja-JP"/>
        </w:rPr>
      </w:pPr>
      <w:r>
        <w:rPr>
          <w:rFonts w:hint="eastAsia" w:ascii="ＭＳ Ｐゴシック" w:hAnsi="ＭＳ Ｐゴシック" w:eastAsia="ＭＳ Ｐゴシック" w:cs="ＭＳ Ｐゴシック"/>
          <w:b/>
          <w:bCs/>
          <w:sz w:val="32"/>
          <w:szCs w:val="32"/>
          <w:u w:val="none"/>
          <w:lang w:val="en-US" w:eastAsia="ja-JP"/>
        </w:rPr>
        <w:t>まちづくり手法としてのブランディング</w:t>
      </w:r>
    </w:p>
    <w:p>
      <w:pPr>
        <w:spacing w:line="0" w:lineRule="atLeast"/>
        <w:rPr>
          <w:rFonts w:hint="eastAsia" w:ascii="ＭＳ Ｐゴシック" w:hAnsi="ＭＳ Ｐゴシック" w:eastAsia="ＭＳ Ｐゴシック" w:cs="ＭＳ Ｐゴシック"/>
          <w:b/>
          <w:bCs/>
          <w:sz w:val="24"/>
          <w:szCs w:val="24"/>
          <w:u w:val="single"/>
          <w:lang w:val="en-US" w:eastAsia="ja-JP"/>
        </w:rPr>
      </w:pPr>
    </w:p>
    <w:p>
      <w:pPr>
        <w:spacing w:line="0" w:lineRule="atLeast"/>
        <w:rPr>
          <w:rFonts w:hint="eastAsia" w:ascii="ＭＳ Ｐゴシック" w:hAnsi="ＭＳ Ｐゴシック" w:eastAsia="ＭＳ Ｐゴシック" w:cs="ＭＳ Ｐゴシック"/>
          <w:b/>
          <w:bCs/>
          <w:sz w:val="24"/>
          <w:szCs w:val="24"/>
          <w:u w:val="single"/>
          <w:lang w:val="en-US" w:eastAsia="ja-JP"/>
        </w:rPr>
      </w:pPr>
      <w:r>
        <w:rPr>
          <w:rFonts w:hint="eastAsia" w:ascii="ＭＳ Ｐゴシック" w:hAnsi="ＭＳ Ｐゴシック" w:eastAsia="ＭＳ Ｐゴシック" w:cs="ＭＳ Ｐゴシック"/>
          <w:b/>
          <w:bCs/>
          <w:sz w:val="24"/>
          <w:szCs w:val="24"/>
          <w:u w:val="single"/>
          <w:lang w:val="en-US" w:eastAsia="ja-JP"/>
        </w:rPr>
        <w:br w:type="page"/>
      </w:r>
    </w:p>
    <w:p>
      <w:pPr>
        <w:spacing w:line="0" w:lineRule="atLeast"/>
        <w:rPr>
          <w:rFonts w:hint="eastAsia" w:ascii="ＭＳ Ｐゴシック" w:hAnsi="ＭＳ Ｐゴシック" w:eastAsia="ＭＳ Ｐゴシック" w:cs="ＭＳ Ｐゴシック"/>
          <w:b/>
          <w:bCs/>
          <w:sz w:val="24"/>
          <w:szCs w:val="24"/>
          <w:u w:val="single"/>
          <w:lang w:val="en-US" w:eastAsia="ja-JP"/>
        </w:rPr>
      </w:pPr>
      <w:r>
        <w:rPr>
          <w:rFonts w:hint="eastAsia" w:ascii="ＭＳ Ｐゴシック" w:hAnsi="ＭＳ Ｐゴシック" w:eastAsia="ＭＳ Ｐゴシック" w:cs="ＭＳ Ｐゴシック"/>
          <w:b/>
          <w:bCs/>
          <w:sz w:val="24"/>
          <w:szCs w:val="24"/>
          <w:u w:val="single"/>
          <w:lang w:val="en-US" w:eastAsia="ja-JP"/>
        </w:rPr>
        <w:t>１．</w:t>
      </w:r>
      <w:r>
        <w:rPr>
          <w:rFonts w:hint="eastAsia" w:ascii="ＭＳ Ｐゴシック" w:hAnsi="ＭＳ Ｐゴシック" w:eastAsia="ＭＳ Ｐゴシック" w:cs="ＭＳ Ｐゴシック"/>
          <w:b/>
          <w:bCs/>
          <w:sz w:val="24"/>
          <w:szCs w:val="24"/>
          <w:u w:val="single"/>
          <w:lang w:eastAsia="ja-JP"/>
        </w:rPr>
        <w:t>京成本線沿線まちづくりビジョン抜粋</w:t>
      </w:r>
    </w:p>
    <w:p>
      <w:pPr>
        <w:spacing w:line="0" w:lineRule="atLeast"/>
        <w:rPr>
          <w:rFonts w:hint="eastAsia" w:ascii="ＭＳ Ｐゴシック" w:hAnsi="ＭＳ Ｐゴシック" w:eastAsia="ＭＳ Ｐゴシック" w:cs="ＭＳ Ｐゴシック"/>
          <w:b w:val="0"/>
          <w:bCs w:val="0"/>
          <w:sz w:val="22"/>
          <w:szCs w:val="22"/>
          <w:u w:val="none"/>
          <w:lang w:eastAsia="ja-JP"/>
        </w:rPr>
      </w:pPr>
      <w:r>
        <w:rPr>
          <w:rFonts w:hint="eastAsia" w:ascii="ＭＳ Ｐゴシック" w:hAnsi="ＭＳ Ｐゴシック" w:eastAsia="ＭＳ Ｐゴシック" w:cs="ＭＳ Ｐゴシック"/>
          <w:b w:val="0"/>
          <w:bCs w:val="0"/>
          <w:sz w:val="22"/>
          <w:szCs w:val="22"/>
          <w:u w:val="none"/>
          <w:lang w:val="en-US" w:eastAsia="ja-JP"/>
        </w:rPr>
        <w:t>　　2023年10月に公開された</w:t>
      </w:r>
      <w:r>
        <w:rPr>
          <w:rFonts w:hint="eastAsia" w:ascii="ＭＳ Ｐゴシック" w:hAnsi="ＭＳ Ｐゴシック" w:eastAsia="ＭＳ Ｐゴシック" w:cs="ＭＳ Ｐゴシック"/>
          <w:b w:val="0"/>
          <w:bCs w:val="0"/>
          <w:sz w:val="22"/>
          <w:szCs w:val="22"/>
          <w:u w:val="none"/>
          <w:lang w:eastAsia="ja-JP"/>
        </w:rPr>
        <w:t>「京成本線沿線まちづくりビジョン」から八千代台駅周辺についてのページを一部抜粋します。</w:t>
      </w:r>
    </w:p>
    <w:p>
      <w:pPr>
        <w:spacing w:line="0" w:lineRule="atLeast"/>
      </w:pPr>
      <w:r>
        <w:drawing>
          <wp:inline distT="0" distB="0" distL="114300" distR="114300">
            <wp:extent cx="5893435" cy="8180070"/>
            <wp:effectExtent l="0" t="0" r="2540" b="1905"/>
            <wp:docPr id="15" name="図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形 3"/>
                    <pic:cNvPicPr>
                      <a:picLocks noChangeAspect="1"/>
                    </pic:cNvPicPr>
                  </pic:nvPicPr>
                  <pic:blipFill>
                    <a:blip r:embed="rId5"/>
                    <a:stretch>
                      <a:fillRect/>
                    </a:stretch>
                  </pic:blipFill>
                  <pic:spPr>
                    <a:xfrm>
                      <a:off x="0" y="0"/>
                      <a:ext cx="5893435" cy="8180070"/>
                    </a:xfrm>
                    <a:prstGeom prst="rect">
                      <a:avLst/>
                    </a:prstGeom>
                    <a:noFill/>
                    <a:ln w="9525">
                      <a:noFill/>
                    </a:ln>
                  </pic:spPr>
                </pic:pic>
              </a:graphicData>
            </a:graphic>
          </wp:inline>
        </w:drawing>
      </w:r>
    </w:p>
    <w:p>
      <w:pPr>
        <w:spacing w:line="0" w:lineRule="atLeast"/>
      </w:pPr>
      <w:r>
        <w:drawing>
          <wp:inline distT="0" distB="0" distL="114300" distR="114300">
            <wp:extent cx="5934075" cy="8339455"/>
            <wp:effectExtent l="0" t="0" r="0" b="4445"/>
            <wp:docPr id="16" name="図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形 4"/>
                    <pic:cNvPicPr>
                      <a:picLocks noChangeAspect="1"/>
                    </pic:cNvPicPr>
                  </pic:nvPicPr>
                  <pic:blipFill>
                    <a:blip r:embed="rId6"/>
                    <a:stretch>
                      <a:fillRect/>
                    </a:stretch>
                  </pic:blipFill>
                  <pic:spPr>
                    <a:xfrm>
                      <a:off x="0" y="0"/>
                      <a:ext cx="5934075" cy="8339455"/>
                    </a:xfrm>
                    <a:prstGeom prst="rect">
                      <a:avLst/>
                    </a:prstGeom>
                    <a:noFill/>
                    <a:ln w="9525">
                      <a:noFill/>
                    </a:ln>
                  </pic:spPr>
                </pic:pic>
              </a:graphicData>
            </a:graphic>
          </wp:inline>
        </w:drawing>
      </w:r>
    </w:p>
    <w:p>
      <w:pPr>
        <w:spacing w:line="0" w:lineRule="atLeast"/>
      </w:pPr>
      <w:r>
        <w:br w:type="page"/>
      </w:r>
    </w:p>
    <w:bookmarkEnd w:id="0"/>
    <w:p>
      <w:pPr>
        <w:numPr>
          <w:ilvl w:val="0"/>
          <w:numId w:val="0"/>
        </w:numPr>
        <w:rPr>
          <w:rFonts w:hint="eastAsia" w:ascii="ＭＳ Ｐゴシック" w:hAnsi="ＭＳ Ｐゴシック" w:eastAsia="ＭＳ Ｐゴシック" w:cs="ＭＳ Ｐゴシック"/>
          <w:b/>
          <w:color w:val="auto"/>
          <w:sz w:val="24"/>
          <w:szCs w:val="22"/>
          <w:highlight w:val="none"/>
          <w:u w:val="single"/>
          <w:lang w:eastAsia="ja-JP"/>
        </w:rPr>
      </w:pPr>
      <w:r>
        <w:rPr>
          <w:rFonts w:hint="eastAsia" w:ascii="ＭＳ Ｐゴシック" w:hAnsi="ＭＳ Ｐゴシック" w:eastAsia="ＭＳ Ｐゴシック" w:cs="ＭＳ Ｐゴシック"/>
          <w:b/>
          <w:color w:val="auto"/>
          <w:sz w:val="24"/>
          <w:szCs w:val="22"/>
          <w:highlight w:val="none"/>
          <w:u w:val="single"/>
          <w:lang w:eastAsia="ja-JP"/>
        </w:rPr>
        <w:t>２．まちづくり成功事例の研究</w:t>
      </w:r>
    </w:p>
    <w:p>
      <w:pPr>
        <w:numPr>
          <w:ilvl w:val="0"/>
          <w:numId w:val="3"/>
        </w:numPr>
        <w:ind w:left="220" w:leftChars="0" w:firstLine="0" w:firstLineChars="0"/>
        <w:rPr>
          <w:rFonts w:hint="eastAsia" w:ascii="ＭＳ Ｐゴシック" w:hAnsi="ＭＳ Ｐゴシック" w:eastAsia="ＭＳ Ｐゴシック" w:cs="ＭＳ Ｐゴシック"/>
          <w:b/>
          <w:bCs w:val="0"/>
          <w:color w:val="auto"/>
          <w:sz w:val="22"/>
          <w:highlight w:val="none"/>
          <w:u w:val="none"/>
          <w:lang w:eastAsia="ja-JP"/>
        </w:rPr>
      </w:pPr>
      <w:r>
        <w:rPr>
          <w:rFonts w:hint="eastAsia" w:ascii="ＭＳ Ｐゴシック" w:hAnsi="ＭＳ Ｐゴシック" w:eastAsia="ＭＳ Ｐゴシック" w:cs="ＭＳ Ｐゴシック"/>
          <w:b/>
          <w:bCs w:val="0"/>
          <w:color w:val="auto"/>
          <w:sz w:val="22"/>
          <w:highlight w:val="none"/>
          <w:u w:val="none"/>
          <w:lang w:eastAsia="ja-JP"/>
        </w:rPr>
        <w:t>流山市</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firstLine="294"/>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流山市は人口約20万人で八千代市の人口とほぼ同じ。つくばエクスプレスの開業により「都心から一番近い森のまち」として、人口増加が続いている成功事例。市にはマーケティング課が存在し、都心の電車の駅には「母になるならながれやま」のポスターを貼り、都内から共働き子育て世代が続々と移住してきたことで有名。ただし、新駅「おおたかの森」駅開業による効果が高いと考えられ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firstLine="294"/>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firstLine="294"/>
        <w:textAlignment w:val="auto"/>
        <w:outlineLvl w:val="9"/>
      </w:pPr>
      <w:r>
        <w:drawing>
          <wp:inline distT="0" distB="0" distL="114300" distR="114300">
            <wp:extent cx="4794885" cy="7095490"/>
            <wp:effectExtent l="0" t="0" r="5715" b="635"/>
            <wp:docPr id="5" name="図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形 3"/>
                    <pic:cNvPicPr>
                      <a:picLocks noChangeAspect="1"/>
                    </pic:cNvPicPr>
                  </pic:nvPicPr>
                  <pic:blipFill>
                    <a:blip r:embed="rId7"/>
                    <a:stretch>
                      <a:fillRect/>
                    </a:stretch>
                  </pic:blipFill>
                  <pic:spPr>
                    <a:xfrm>
                      <a:off x="0" y="0"/>
                      <a:ext cx="4794885" cy="709549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firstLine="294"/>
        <w:textAlignment w:val="auto"/>
        <w:outlineLvl w:val="9"/>
        <w:rPr>
          <w:rFonts w:hint="eastAsia" w:ascii="ＭＳ Ｐゴシック" w:hAnsi="ＭＳ Ｐゴシック" w:eastAsia="ＭＳ Ｐゴシック" w:cs="ＭＳ Ｐゴシック"/>
          <w:lang w:val="en-US" w:eastAsia="ja-JP"/>
        </w:rPr>
      </w:pPr>
      <w:r>
        <w:rPr>
          <w:rFonts w:hint="eastAsia" w:ascii="ＭＳ Ｐゴシック" w:hAnsi="ＭＳ Ｐゴシック" w:eastAsia="ＭＳ Ｐゴシック" w:cs="ＭＳ Ｐゴシック"/>
          <w:lang w:eastAsia="ja-JP"/>
        </w:rPr>
        <w:t>千葉県流山市総合政策部マーケティング課「流山市</w:t>
      </w:r>
      <w:r>
        <w:rPr>
          <w:rFonts w:hint="eastAsia" w:ascii="ＭＳ Ｐゴシック" w:hAnsi="ＭＳ Ｐゴシック" w:eastAsia="ＭＳ Ｐゴシック" w:cs="ＭＳ Ｐゴシック"/>
          <w:lang w:val="en-US" w:eastAsia="ja-JP"/>
        </w:rPr>
        <w:t>ブランディングプラン」資料から抜粋（令和３年）</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firstLine="294"/>
        <w:textAlignment w:val="auto"/>
        <w:outlineLvl w:val="9"/>
        <w:rPr>
          <w:rFonts w:hint="eastAsia" w:ascii="ＭＳ Ｐゴシック" w:hAnsi="ＭＳ Ｐゴシック" w:eastAsia="ＭＳ Ｐゴシック" w:cs="ＭＳ Ｐゴシック"/>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4"/>
          <w:szCs w:val="24"/>
          <w:highlight w:val="none"/>
          <w:u w:val="none"/>
          <w:lang w:val="en-US" w:eastAsia="ja-JP"/>
        </w:rPr>
      </w:pPr>
      <w:r>
        <w:rPr>
          <w:rFonts w:hint="eastAsia" w:ascii="ＭＳ Ｐゴシック" w:hAnsi="ＭＳ Ｐゴシック" w:eastAsia="ＭＳ Ｐゴシック" w:cs="ＭＳ Ｐゴシック"/>
          <w:b w:val="0"/>
          <w:bCs/>
          <w:color w:val="auto"/>
          <w:sz w:val="24"/>
          <w:szCs w:val="24"/>
          <w:highlight w:val="none"/>
          <w:u w:val="none"/>
          <w:lang w:eastAsia="ja-JP"/>
        </w:rPr>
        <w:t>◆流山市の経営とマーケティング　</w:t>
      </w:r>
      <w:r>
        <w:rPr>
          <w:rFonts w:hint="eastAsia" w:ascii="ＭＳ Ｐゴシック" w:hAnsi="ＭＳ Ｐゴシック" w:eastAsia="ＭＳ Ｐゴシック" w:cs="ＭＳ Ｐゴシック"/>
          <w:b w:val="0"/>
          <w:bCs/>
          <w:color w:val="auto"/>
          <w:sz w:val="24"/>
          <w:szCs w:val="24"/>
          <w:highlight w:val="none"/>
          <w:u w:val="none"/>
          <w:lang w:val="en-US" w:eastAsia="ja-JP"/>
        </w:rPr>
        <w:t>YouTube動画から内容を要約</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https://www.youtube.com/watch?v=TIjK0RnHhvU&amp;ab_channel=%E8%A1%8C%E6%94%BF%E7%B5%8C%E5%96%B6</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i w:val="0"/>
          <w:iCs w:val="0"/>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i w:val="0"/>
          <w:iCs w:val="0"/>
          <w:color w:val="auto"/>
          <w:sz w:val="22"/>
          <w:highlight w:val="none"/>
          <w:u w:val="single"/>
          <w:lang w:eastAsia="ja-JP"/>
        </w:rPr>
        <w:t>環境分析</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i w:val="0"/>
          <w:iCs w:val="0"/>
          <w:color w:val="auto"/>
          <w:sz w:val="22"/>
          <w:highlight w:val="none"/>
          <w:u w:val="single"/>
          <w:lang w:eastAsia="ja-JP"/>
        </w:rPr>
      </w:pPr>
    </w:p>
    <w:p>
      <w:pPr>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147" w:leftChars="0" w:firstLine="0" w:firstLineChars="0"/>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PEST分析</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147" w:leftChars="0"/>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PEST分析とは、自社を取り巻く外部環境が、現在もしくは将来的にどのような影響を与えるかを把握・予測するためのフレームワークのことです。「政治（Politics）」「経済（Economy）」「社会（Society）」「技術（Technology）」という4つの外部環境を取り出し、分析対象としま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w:t>
      </w:r>
      <w:r>
        <w:rPr>
          <w:rFonts w:hint="eastAsia" w:ascii="ＭＳ Ｐゴシック" w:hAnsi="ＭＳ Ｐゴシック" w:eastAsia="ＭＳ Ｐゴシック" w:cs="ＭＳ Ｐゴシック"/>
          <w:b w:val="0"/>
          <w:bCs/>
          <w:color w:val="auto"/>
          <w:sz w:val="22"/>
          <w:highlight w:val="none"/>
          <w:u w:val="none"/>
          <w:lang w:eastAsia="ja-JP"/>
        </w:rPr>
        <w:fldChar w:fldCharType="begin"/>
      </w:r>
      <w:r>
        <w:rPr>
          <w:rFonts w:hint="eastAsia" w:ascii="ＭＳ Ｐゴシック" w:hAnsi="ＭＳ Ｐゴシック" w:eastAsia="ＭＳ Ｐゴシック" w:cs="ＭＳ Ｐゴシック"/>
          <w:b w:val="0"/>
          <w:bCs/>
          <w:color w:val="auto"/>
          <w:sz w:val="22"/>
          <w:highlight w:val="none"/>
          <w:u w:val="none"/>
          <w:lang w:eastAsia="ja-JP"/>
        </w:rPr>
        <w:instrText xml:space="preserve"> HYPERLINK "https://www.utokyo-ipc.co.jp/column/pest-analysis/" </w:instrText>
      </w:r>
      <w:r>
        <w:rPr>
          <w:rFonts w:hint="eastAsia" w:ascii="ＭＳ Ｐゴシック" w:hAnsi="ＭＳ Ｐゴシック" w:eastAsia="ＭＳ Ｐゴシック" w:cs="ＭＳ Ｐゴシック"/>
          <w:b w:val="0"/>
          <w:bCs/>
          <w:color w:val="auto"/>
          <w:sz w:val="22"/>
          <w:highlight w:val="none"/>
          <w:u w:val="none"/>
          <w:lang w:eastAsia="ja-JP"/>
        </w:rPr>
        <w:fldChar w:fldCharType="separate"/>
      </w:r>
      <w:r>
        <w:rPr>
          <w:rStyle w:val="22"/>
          <w:rFonts w:hint="eastAsia" w:ascii="ＭＳ Ｐゴシック" w:hAnsi="ＭＳ Ｐゴシック" w:eastAsia="ＭＳ Ｐゴシック" w:cs="ＭＳ Ｐゴシック"/>
          <w:b w:val="0"/>
          <w:bCs/>
          <w:sz w:val="22"/>
          <w:highlight w:val="none"/>
          <w:lang w:eastAsia="ja-JP"/>
        </w:rPr>
        <w:t>https://www.utokyo-ipc.co.jp/column/pest-analysis/</w:t>
      </w:r>
      <w:r>
        <w:rPr>
          <w:rFonts w:hint="eastAsia" w:ascii="ＭＳ Ｐゴシック" w:hAnsi="ＭＳ Ｐゴシック" w:eastAsia="ＭＳ Ｐゴシック" w:cs="ＭＳ Ｐゴシック"/>
          <w:b w:val="0"/>
          <w:bCs/>
          <w:color w:val="auto"/>
          <w:sz w:val="22"/>
          <w:highlight w:val="none"/>
          <w:u w:val="none"/>
          <w:lang w:eastAsia="ja-JP"/>
        </w:rPr>
        <w:fldChar w:fldCharType="end"/>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4"/>
        </w:numPr>
        <w:kinsoku/>
        <w:wordWrap/>
        <w:overflowPunct/>
        <w:topLinePunct w:val="0"/>
        <w:autoSpaceDE/>
        <w:autoSpaceDN/>
        <w:bidi w:val="0"/>
        <w:adjustRightInd/>
        <w:snapToGrid/>
        <w:spacing w:after="0" w:line="240" w:lineRule="auto"/>
        <w:ind w:left="147" w:leftChars="0" w:firstLine="0" w:firstLineChars="0"/>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環境４C分析</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147" w:leftChars="0" w:firstLine="294"/>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eastAsia="ja-JP"/>
        </w:rPr>
        <w:t>顧客（</w:t>
      </w:r>
      <w:r>
        <w:rPr>
          <w:rFonts w:hint="eastAsia" w:ascii="ＭＳ Ｐゴシック" w:hAnsi="ＭＳ Ｐゴシック" w:eastAsia="ＭＳ Ｐゴシック" w:cs="ＭＳ Ｐゴシック"/>
          <w:b w:val="0"/>
          <w:bCs/>
          <w:color w:val="auto"/>
          <w:sz w:val="22"/>
          <w:highlight w:val="none"/>
          <w:u w:val="none"/>
          <w:lang w:val="en-US" w:eastAsia="ja-JP"/>
        </w:rPr>
        <w:t>Customer)、自社(Company)、競合(Competitor)、協力者(Co-operator)</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147" w:leftChars="0" w:firstLine="294"/>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３．SWOT分析</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脅威</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人口減少</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競争激化</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機会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都心での生活環境の悪化</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子育てに関する一貫したサービスへのニーズ</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都心への高い利便性に発展の機会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強み</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ゆとりある住宅整備ができる環境</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街全体の緑の多さ</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醸造業や宿場町として栄えた歴史</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弱み</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市民の高齢化の進展</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大企業や商業施設が少ない</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旧い行政体質がある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color w:val="auto"/>
          <w:sz w:val="22"/>
          <w:highlight w:val="none"/>
          <w:u w:val="single"/>
          <w:lang w:eastAsia="ja-JP"/>
        </w:rPr>
        <w:t>課題の決定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１．機会と強みを重視する基本方針にする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２．エビデンス重視で構想する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color w:val="auto"/>
          <w:sz w:val="22"/>
          <w:highlight w:val="none"/>
          <w:u w:val="single"/>
          <w:lang w:eastAsia="ja-JP"/>
        </w:rPr>
        <w:t>課題の構想（仮説）</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市民税が主体の流山市であるため、持続可能な歳入構造を確立するためには、</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「働く世代と次世代を増やすこと」が重要</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１．政策対象を子育て世代に設定する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２．市の都心への利便性と住環境の良好性を活かし、万全の子育てと教育政策を組み合わせる。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３．これらの政策をマーケティング力で市民価値を高め、その内容を経営力で確実に実行する。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他からの流入が実現できると構想。</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color w:val="auto"/>
          <w:sz w:val="22"/>
          <w:highlight w:val="none"/>
          <w:u w:val="single"/>
          <w:lang w:eastAsia="ja-JP"/>
        </w:rPr>
        <w:t>政策目標・方針の決定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目標：市民増の実現</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方針：</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１．対象市民を明確にする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２．政策形成にマーケティングを活用する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３．長寿社会のもと、財政的にも、持続可能なまちづくりを進める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color w:val="auto"/>
          <w:sz w:val="22"/>
          <w:highlight w:val="none"/>
          <w:u w:val="single"/>
          <w:lang w:eastAsia="ja-JP"/>
        </w:rPr>
        <w:t>政策戦略の策定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市民、競合、強みの視点から検討</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１．若い世代の結婚、出産、子育てのニーズに密着する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２．政策に地域と市民に適合する独自性を盛り込む</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３．限られた財源を集中</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color w:val="auto"/>
          <w:sz w:val="22"/>
          <w:highlight w:val="none"/>
          <w:u w:val="single"/>
          <w:lang w:eastAsia="ja-JP"/>
        </w:rPr>
        <w:t>STPCプロセスの活用による政策コンセプトの創造</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１．セグメンテーション：対象市民の細分化</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多様な市民ニーズを区分して把握し、最適な対象市民の設定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２．ターゲティング：対象市民の選定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「共働き子育て世代」を対象市民として選択</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この世代のニーズに対応するには、</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w:t>
      </w: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働き続けながら</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子育て、教育ができる環境の整備が重要</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３．ポジショニング：政策の独自性、優位性の発揮</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目標である対象者の流入を促進するためには、競合する自治体との違いが必要</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そこで、中心都市に近い割に、落ち着いた町並みと、緑が多いという、他にはない強みを活かし、</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都会の洗練さと、豊かな自然の両方を楽しめる点をポジショニングしました。</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４．コンセプト：新価値の創造</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都心から一番近い森のまち　⇒　ブランド化を目指す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ブランド・コンセプトの内容</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①　住める：良質な住環境の整備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②　育てられる：子育て、教育環境の充実</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③　楽しめる：洗練された商業環境の創造</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r>
        <w:rPr>
          <w:rFonts w:hint="eastAsia" w:ascii="ＭＳ Ｐゴシック" w:hAnsi="ＭＳ Ｐゴシック" w:eastAsia="ＭＳ Ｐゴシック" w:cs="ＭＳ Ｐゴシック"/>
          <w:b w:val="0"/>
          <w:bCs/>
          <w:color w:val="auto"/>
          <w:sz w:val="22"/>
          <w:highlight w:val="none"/>
          <w:u w:val="none"/>
          <w:lang w:eastAsia="ja-JP"/>
        </w:rPr>
        <w:t>・</w:t>
      </w:r>
      <w:r>
        <w:rPr>
          <w:rFonts w:hint="eastAsia" w:ascii="ＭＳ Ｐゴシック" w:hAnsi="ＭＳ Ｐゴシック" w:eastAsia="ＭＳ Ｐゴシック" w:cs="ＭＳ Ｐゴシック"/>
          <w:b w:val="0"/>
          <w:bCs/>
          <w:color w:val="auto"/>
          <w:sz w:val="22"/>
          <w:highlight w:val="none"/>
          <w:u w:val="single"/>
          <w:lang w:eastAsia="ja-JP"/>
        </w:rPr>
        <w:t>政策コンセプトを具体化する「政策ミックス戦略」の策定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singl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１．市民価値</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良質な住環境の整備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開発で失われた緑を、住宅や商業施設の緑化で再生する「グリーンチェーン戦略」</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一定規模以上の住宅開発に、「子育て支援施設」の設置依頼</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敷地面積がある一定面積以下にならないよう要請する「開発許可基準に関する条例」の法整備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子育て支援の強化</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待機児童ゼロを最優先課題とし、許認可保育園の新設・増設により定員数を倍増</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送迎保育ステーションを市内２駅に設置して市内全保育園への送迎を行っている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教育環境の充実</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目標：学ぶ子にこたえる流山市</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全中学校に、「算数・数学学習指導員」、「外国語指導助手」を配置</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小学校にはネイティブのスーパーバイザーを３名配置</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２．市民コスト</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政策の立案・実施には、資源（コスト）投入が必要。大事なのは、成果とコストの「比率」</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予算編成や政策形成へのマーケティング適用</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部制マネジメント強化によるPDCAの徹底で政策の成果を高める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入札制度の変更などで透過する税金額を引き下げ、コスト比率の最小化に挑む</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　現在では、市民１人あたりの行政コストのは全国トップクラスの低さ</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３．市民協働</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市民の知恵と力を活かす仕組みの構築</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NPOを取得した団体が、公民館や図書館など多くの公共施設の運営管理を担う</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市民と行政の協働、市民団体同士の共創から、独自の最上級の企画が実現</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展覧会、コンサート、講演会</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古い倉庫や古民家を改装したユニークな商業施設も建設</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雇用の創出や交流人口の増加に貢献</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４．市民対話</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最近はマスコミの取材も多く、テレビ、雑誌、インターネットを通じての知名度がアップ</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　　　その中で最もヒットした媒体は、都心での流山市の注目度を高めた。</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対象：都心に通勤、在住する人</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場所：都内４３駅に張り出す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ab/>
      </w:r>
      <w:r>
        <w:rPr>
          <w:rFonts w:hint="eastAsia" w:ascii="ＭＳ Ｐゴシック" w:hAnsi="ＭＳ Ｐゴシック" w:eastAsia="ＭＳ Ｐゴシック" w:cs="ＭＳ Ｐゴシック"/>
          <w:b w:val="0"/>
          <w:bCs/>
          <w:color w:val="auto"/>
          <w:sz w:val="22"/>
          <w:highlight w:val="none"/>
          <w:u w:val="none"/>
          <w:lang w:eastAsia="ja-JP"/>
        </w:rPr>
        <w:t>ポスター：「母になるなら、流山市。」、「学ぶ子にこたえる流山市。」など</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書籍：</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・こうして流山市は人口増を実現している（同友館）</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・流山がすごい (新潮新書)</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4"/>
          <w:szCs w:val="24"/>
          <w:highlight w:val="none"/>
          <w:u w:val="none"/>
          <w:lang w:val="en-US" w:eastAsia="ja-JP"/>
        </w:rPr>
      </w:pPr>
      <w:r>
        <w:rPr>
          <w:rFonts w:hint="eastAsia" w:ascii="ＭＳ Ｐゴシック" w:hAnsi="ＭＳ Ｐゴシック" w:eastAsia="ＭＳ Ｐゴシック" w:cs="ＭＳ Ｐゴシック"/>
          <w:b w:val="0"/>
          <w:bCs/>
          <w:color w:val="auto"/>
          <w:sz w:val="24"/>
          <w:szCs w:val="24"/>
          <w:highlight w:val="none"/>
          <w:u w:val="none"/>
          <w:lang w:eastAsia="ja-JP"/>
        </w:rPr>
        <w:t>◆流山市総合政策部マーケティング課からの情報（</w:t>
      </w:r>
      <w:r>
        <w:rPr>
          <w:rFonts w:hint="eastAsia" w:ascii="ＭＳ Ｐゴシック" w:hAnsi="ＭＳ Ｐゴシック" w:eastAsia="ＭＳ Ｐゴシック" w:cs="ＭＳ Ｐゴシック"/>
          <w:b w:val="0"/>
          <w:bCs/>
          <w:color w:val="auto"/>
          <w:sz w:val="24"/>
          <w:szCs w:val="24"/>
          <w:highlight w:val="none"/>
          <w:u w:val="none"/>
          <w:lang w:val="en-US" w:eastAsia="ja-JP"/>
        </w:rPr>
        <w:t>e-Mail抜粋）</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昨今立て続けにマーケティング課への視察の依頼が殺到しており、かつ、現在マーケティング課体制として、課長含め３名の少数体制であることから、通常業務に支障をきたす状況となっているとのことで、会議は設定できませんでしたが、以下の情報を連携いただきました。</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〇おおたかまち図鑑</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https://otaka.machizukan.com/partners/mayor-nagareyama</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視察対応時など、外部へお話する際のベースはこちらの内容に近いものになるかと思います。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〇Heroes of Local Government</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【流山市 河尻和佳子 #3】行政が場所を用意すればママの夢も叶う</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https://www.holg.jp/jirei/kawajiriwakako3/</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〇みんな経営応援通信</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転入したママたちの悩みに応えて！流山市の女性向け創業スクールが目指す未来とは？</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https://letter.sorimachi.co.jp/entrepreneur_support/20220815</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〇市町村アカデミー</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マーケティング戦略による市政運営で子育て世代の人口増加を実現</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https://www.jamp.gr.jp/wp-content/uploads/2022/07/142_01.pdf</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また、マーケティング関連の取り組みについては</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下記ブランディングプランやマーケティング課のページをご確認いただければ</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ある程度把握いただけるかと思いますのでぜひご覧ください。</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〇流山市ブランディングプラン</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https://www.city.nagareyama.chiba.jp/section/1009951/1009954/1030483.html</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〇マーケティング課ページ</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https://www.city.nagareyama.chiba.jp/section/1009951/1009954/index.html</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※過去のプランや転入者アンケート結果、ブランド認知度調査など掲載しております。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また、流山おおたかの森駅前センター地区におけるまちづくりの指針は、以下のページにございます。</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https://www.city.nagareyama.chiba.jp/life/1002263/1002274/1042888/1002316/1002321.html</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br w:type="page"/>
      </w:r>
    </w:p>
    <w:p>
      <w:pPr>
        <w:numPr>
          <w:ilvl w:val="0"/>
          <w:numId w:val="3"/>
        </w:numPr>
        <w:ind w:left="220" w:leftChars="0" w:firstLine="0" w:firstLineChars="0"/>
        <w:rPr>
          <w:rFonts w:hint="eastAsia" w:ascii="ＭＳ Ｐゴシック" w:hAnsi="ＭＳ Ｐゴシック" w:eastAsia="ＭＳ Ｐゴシック" w:cs="ＭＳ Ｐゴシック"/>
          <w:b/>
          <w:bCs w:val="0"/>
          <w:color w:val="auto"/>
          <w:sz w:val="24"/>
          <w:szCs w:val="22"/>
          <w:highlight w:val="none"/>
          <w:u w:val="single"/>
          <w:lang w:eastAsia="ja-JP"/>
        </w:rPr>
      </w:pPr>
      <w:r>
        <w:rPr>
          <w:rFonts w:hint="eastAsia" w:ascii="ＭＳ Ｐゴシック" w:hAnsi="ＭＳ Ｐゴシック" w:eastAsia="ＭＳ Ｐゴシック" w:cs="ＭＳ Ｐゴシック"/>
          <w:b/>
          <w:bCs w:val="0"/>
          <w:color w:val="auto"/>
          <w:sz w:val="24"/>
          <w:szCs w:val="22"/>
          <w:highlight w:val="none"/>
          <w:u w:val="single"/>
          <w:lang w:eastAsia="ja-JP"/>
        </w:rPr>
        <w:t>明石市</w:t>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　　泉房穂前市長が、「こどもを核としたまちづくり」、「すべての人にやさしいまちづくり」を重点施策として進めた結果、９年連続で人口増加、税収増加、財源増加により次の新たな施策の実行という、まちの好循環が生まれた。人口は３０万人を突破し八千代市よりは１０万人多いが、新駅などはなく、既存市街地を有効活用している。特に明石駅前に図書館や子供が安全に遊べるスペースなどを設置して、親子がランチなどを食べたりカフェでくつろいだりすることができ、周辺商店街の活性化につながっている。</w:t>
      </w:r>
    </w:p>
    <w:p>
      <w:pPr>
        <w:keepNext w:val="0"/>
        <w:keepLines w:val="0"/>
        <w:pageBreakBefore w:val="0"/>
        <w:widowControl/>
        <w:numPr>
          <w:ilvl w:val="0"/>
          <w:numId w:val="0"/>
        </w:numPr>
        <w:kinsoku/>
        <w:wordWrap/>
        <w:overflowPunct/>
        <w:topLinePunct w:val="0"/>
        <w:autoSpaceDE/>
        <w:autoSpaceDN/>
        <w:bidi w:val="0"/>
        <w:adjustRightInd/>
        <w:snapToGrid/>
        <w:textAlignment w:val="auto"/>
      </w:pPr>
      <w:r>
        <w:drawing>
          <wp:inline distT="0" distB="0" distL="114300" distR="114300">
            <wp:extent cx="5934710" cy="7249160"/>
            <wp:effectExtent l="0" t="0" r="8890" b="8890"/>
            <wp:docPr id="2" name="図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形 1"/>
                    <pic:cNvPicPr>
                      <a:picLocks noChangeAspect="1"/>
                    </pic:cNvPicPr>
                  </pic:nvPicPr>
                  <pic:blipFill>
                    <a:blip r:embed="rId8"/>
                    <a:stretch>
                      <a:fillRect/>
                    </a:stretch>
                  </pic:blipFill>
                  <pic:spPr>
                    <a:xfrm>
                      <a:off x="0" y="0"/>
                      <a:ext cx="5934710" cy="724916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lang w:val="en-US" w:eastAsia="ja-JP"/>
        </w:rPr>
      </w:pPr>
      <w:r>
        <w:drawing>
          <wp:inline distT="0" distB="0" distL="114300" distR="114300">
            <wp:extent cx="5932170" cy="4192270"/>
            <wp:effectExtent l="0" t="0" r="1905" b="8255"/>
            <wp:docPr id="4" name="図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形 2"/>
                    <pic:cNvPicPr>
                      <a:picLocks noChangeAspect="1"/>
                    </pic:cNvPicPr>
                  </pic:nvPicPr>
                  <pic:blipFill>
                    <a:blip r:embed="rId9"/>
                    <a:stretch>
                      <a:fillRect/>
                    </a:stretch>
                  </pic:blipFill>
                  <pic:spPr>
                    <a:xfrm>
                      <a:off x="0" y="0"/>
                      <a:ext cx="5932170" cy="419227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明石市市政ガイド２０２２から抜粋</w:t>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b w:val="0"/>
          <w:bCs/>
          <w:color w:val="auto"/>
          <w:sz w:val="22"/>
          <w:highlight w:val="none"/>
          <w:u w:val="none"/>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textAlignment w:val="auto"/>
      </w:pPr>
      <w:r>
        <w:drawing>
          <wp:inline distT="0" distB="0" distL="114300" distR="114300">
            <wp:extent cx="5929630" cy="1095375"/>
            <wp:effectExtent l="0" t="0" r="4445" b="0"/>
            <wp:docPr id="6" name="図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図形 1"/>
                    <pic:cNvPicPr>
                      <a:picLocks noChangeAspect="1"/>
                    </pic:cNvPicPr>
                  </pic:nvPicPr>
                  <pic:blipFill>
                    <a:blip r:embed="rId10"/>
                    <a:stretch>
                      <a:fillRect/>
                    </a:stretch>
                  </pic:blipFill>
                  <pic:spPr>
                    <a:xfrm>
                      <a:off x="0" y="0"/>
                      <a:ext cx="5929630" cy="1095375"/>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国土交通省　「市街地整備2.0」、３，３）立体的・重層的な空間利用の推進から抜粋</w:t>
      </w:r>
    </w:p>
    <w:p>
      <w:pPr>
        <w:keepNext w:val="0"/>
        <w:keepLines w:val="0"/>
        <w:pageBreakBefore w:val="0"/>
        <w:widowControl/>
        <w:numPr>
          <w:ilvl w:val="0"/>
          <w:numId w:val="0"/>
        </w:numPr>
        <w:kinsoku/>
        <w:wordWrap/>
        <w:overflowPunct/>
        <w:topLinePunct w:val="0"/>
        <w:autoSpaceDE/>
        <w:autoSpaceDN/>
        <w:bidi w:val="0"/>
        <w:adjustRightInd/>
        <w:snapToGrid/>
        <w:textAlignment w:val="auto"/>
      </w:pPr>
    </w:p>
    <w:p>
      <w:pPr>
        <w:keepNext w:val="0"/>
        <w:keepLines w:val="0"/>
        <w:pageBreakBefore w:val="0"/>
        <w:widowControl/>
        <w:numPr>
          <w:ilvl w:val="0"/>
          <w:numId w:val="0"/>
        </w:numPr>
        <w:kinsoku/>
        <w:wordWrap/>
        <w:overflowPunct/>
        <w:topLinePunct w:val="0"/>
        <w:autoSpaceDE/>
        <w:autoSpaceDN/>
        <w:bidi w:val="0"/>
        <w:adjustRightInd/>
        <w:snapToGrid/>
        <w:textAlignment w:val="auto"/>
      </w:pPr>
      <w:r>
        <w:drawing>
          <wp:inline distT="0" distB="0" distL="114300" distR="114300">
            <wp:extent cx="5940425" cy="3990340"/>
            <wp:effectExtent l="0" t="0" r="3175" b="635"/>
            <wp:docPr id="7" name="図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形 2"/>
                    <pic:cNvPicPr>
                      <a:picLocks noChangeAspect="1"/>
                    </pic:cNvPicPr>
                  </pic:nvPicPr>
                  <pic:blipFill>
                    <a:blip r:embed="rId11"/>
                    <a:stretch>
                      <a:fillRect/>
                    </a:stretch>
                  </pic:blipFill>
                  <pic:spPr>
                    <a:xfrm>
                      <a:off x="0" y="0"/>
                      <a:ext cx="5940425" cy="399034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textAlignment w:val="auto"/>
      </w:pPr>
      <w:r>
        <w:rPr>
          <w:rFonts w:hint="eastAsia" w:ascii="ＭＳ Ｐゴシック" w:hAnsi="ＭＳ Ｐゴシック" w:eastAsia="ＭＳ Ｐゴシック" w:cs="ＭＳ Ｐゴシック"/>
          <w:b w:val="0"/>
          <w:bCs/>
          <w:color w:val="auto"/>
          <w:sz w:val="22"/>
          <w:highlight w:val="none"/>
          <w:u w:val="none"/>
          <w:lang w:val="en-US" w:eastAsia="ja-JP"/>
        </w:rPr>
        <w:t>明石駅前商業施設「パピオスあかし」2階にある「あかし市民広場」　</w:t>
      </w:r>
    </w:p>
    <w:p>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lang w:val="en-US" w:eastAsia="ja-JP"/>
        </w:rPr>
      </w:pPr>
    </w:p>
    <w:p>
      <w:pPr>
        <w:numPr>
          <w:ilvl w:val="0"/>
          <w:numId w:val="3"/>
        </w:numPr>
        <w:ind w:left="220" w:leftChars="0" w:firstLine="0" w:firstLineChars="0"/>
        <w:rPr>
          <w:rFonts w:hint="eastAsia" w:ascii="ＭＳ Ｐゴシック" w:hAnsi="ＭＳ Ｐゴシック" w:eastAsia="ＭＳ Ｐゴシック" w:cs="ＭＳ Ｐゴシック"/>
          <w:b w:val="0"/>
          <w:bCs/>
          <w:color w:val="auto"/>
          <w:sz w:val="24"/>
          <w:szCs w:val="24"/>
          <w:highlight w:val="none"/>
          <w:u w:val="single"/>
          <w:lang w:eastAsia="ja-JP"/>
        </w:rPr>
      </w:pPr>
      <w:r>
        <w:rPr>
          <w:rFonts w:hint="eastAsia" w:ascii="ＭＳ Ｐゴシック" w:hAnsi="ＭＳ Ｐゴシック" w:eastAsia="ＭＳ Ｐゴシック" w:cs="ＭＳ Ｐゴシック"/>
          <w:b/>
          <w:bCs w:val="0"/>
          <w:color w:val="auto"/>
          <w:sz w:val="24"/>
          <w:szCs w:val="24"/>
          <w:highlight w:val="none"/>
          <w:u w:val="single"/>
          <w:lang w:eastAsia="ja-JP"/>
        </w:rPr>
        <w:t>国土交通省　市街地整備</w:t>
      </w:r>
      <w:r>
        <w:rPr>
          <w:rFonts w:hint="eastAsia" w:ascii="ＭＳ Ｐゴシック" w:hAnsi="ＭＳ Ｐゴシック" w:eastAsia="ＭＳ Ｐゴシック" w:cs="ＭＳ Ｐゴシック"/>
          <w:b/>
          <w:bCs w:val="0"/>
          <w:color w:val="auto"/>
          <w:sz w:val="24"/>
          <w:szCs w:val="24"/>
          <w:highlight w:val="none"/>
          <w:u w:val="single"/>
          <w:lang w:val="en-US" w:eastAsia="ja-JP"/>
        </w:rPr>
        <w:t>2.0</w:t>
      </w:r>
    </w:p>
    <w:p>
      <w:pPr>
        <w:numPr>
          <w:ilvl w:val="0"/>
          <w:numId w:val="0"/>
        </w:numPr>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　　国土交通省は、今後の既存市街地の整備について、基本的な考え方、手法、成功事例などを活用できるよう「市街地整備2.0」と名付けたレポートを作成し公開している。</w:t>
      </w:r>
    </w:p>
    <w:p>
      <w:pPr>
        <w:numPr>
          <w:ilvl w:val="0"/>
          <w:numId w:val="0"/>
        </w:numPr>
        <w:rPr>
          <w:rFonts w:ascii="SimSun" w:hAnsi="SimSun" w:eastAsia="SimSun" w:cs="SimSun"/>
          <w:sz w:val="24"/>
          <w:szCs w:val="24"/>
        </w:rPr>
      </w:pPr>
      <w:r>
        <w:rPr>
          <w:rFonts w:ascii="SimSun" w:hAnsi="SimSun" w:eastAsia="SimSun" w:cs="SimSun"/>
          <w:sz w:val="24"/>
          <w:szCs w:val="24"/>
        </w:rPr>
        <w:fldChar w:fldCharType="begin"/>
      </w:r>
      <w:r>
        <w:rPr>
          <w:rFonts w:ascii="SimSun" w:hAnsi="SimSun" w:eastAsia="SimSun" w:cs="SimSun"/>
          <w:sz w:val="24"/>
          <w:szCs w:val="24"/>
        </w:rPr>
        <w:instrText xml:space="preserve"> HYPERLINK "https://www.mlit.go.jp/toshi/city/sigaiti/toshi_urbanmainte_tk_000057.html" </w:instrText>
      </w:r>
      <w:r>
        <w:rPr>
          <w:rFonts w:ascii="SimSun" w:hAnsi="SimSun" w:eastAsia="SimSun" w:cs="SimSun"/>
          <w:sz w:val="24"/>
          <w:szCs w:val="24"/>
        </w:rPr>
        <w:fldChar w:fldCharType="separate"/>
      </w:r>
      <w:r>
        <w:rPr>
          <w:rStyle w:val="22"/>
          <w:rFonts w:ascii="SimSun" w:hAnsi="SimSun" w:eastAsia="SimSun" w:cs="SimSun"/>
          <w:sz w:val="24"/>
          <w:szCs w:val="24"/>
        </w:rPr>
        <w:t>市街地整備：市街地整備資料室 - 国土交通省 (mlit.go.jp)</w:t>
      </w:r>
      <w:r>
        <w:rPr>
          <w:rFonts w:ascii="SimSun" w:hAnsi="SimSun" w:eastAsia="SimSun" w:cs="SimSun"/>
          <w:sz w:val="24"/>
          <w:szCs w:val="24"/>
        </w:rPr>
        <w:fldChar w:fldCharType="end"/>
      </w:r>
    </w:p>
    <w:p>
      <w:pPr>
        <w:numPr>
          <w:ilvl w:val="0"/>
          <w:numId w:val="0"/>
        </w:numPr>
        <w:rPr>
          <w:rFonts w:hint="eastAsia" w:ascii="SimSun" w:hAnsi="SimSun" w:eastAsia="SimSun" w:cs="SimSun"/>
          <w:sz w:val="24"/>
          <w:szCs w:val="24"/>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膨大な資料が存在するため、参考までに一部の抜粋した資料を以下に掲載する。</w:t>
      </w:r>
    </w:p>
    <w:p>
      <w:pPr>
        <w:numPr>
          <w:ilvl w:val="0"/>
          <w:numId w:val="0"/>
        </w:numPr>
      </w:pPr>
      <w:r>
        <w:drawing>
          <wp:inline distT="0" distB="0" distL="114300" distR="114300">
            <wp:extent cx="5937250" cy="8446770"/>
            <wp:effectExtent l="0" t="0" r="6350" b="1905"/>
            <wp:docPr id="18" name="図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形 3"/>
                    <pic:cNvPicPr>
                      <a:picLocks noChangeAspect="1"/>
                    </pic:cNvPicPr>
                  </pic:nvPicPr>
                  <pic:blipFill>
                    <a:blip r:embed="rId12"/>
                    <a:stretch>
                      <a:fillRect/>
                    </a:stretch>
                  </pic:blipFill>
                  <pic:spPr>
                    <a:xfrm>
                      <a:off x="0" y="0"/>
                      <a:ext cx="5937250" cy="8446770"/>
                    </a:xfrm>
                    <a:prstGeom prst="rect">
                      <a:avLst/>
                    </a:prstGeom>
                    <a:noFill/>
                    <a:ln w="9525">
                      <a:noFill/>
                    </a:ln>
                  </pic:spPr>
                </pic:pic>
              </a:graphicData>
            </a:graphic>
          </wp:inline>
        </w:drawing>
      </w:r>
    </w:p>
    <w:p>
      <w:pPr>
        <w:numPr>
          <w:ilvl w:val="0"/>
          <w:numId w:val="0"/>
        </w:numPr>
      </w:pPr>
      <w:r>
        <w:drawing>
          <wp:inline distT="0" distB="0" distL="114300" distR="114300">
            <wp:extent cx="5936615" cy="7767320"/>
            <wp:effectExtent l="0" t="0" r="6985" b="5080"/>
            <wp:docPr id="17" name="図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図形 2"/>
                    <pic:cNvPicPr>
                      <a:picLocks noChangeAspect="1"/>
                    </pic:cNvPicPr>
                  </pic:nvPicPr>
                  <pic:blipFill>
                    <a:blip r:embed="rId13"/>
                    <a:stretch>
                      <a:fillRect/>
                    </a:stretch>
                  </pic:blipFill>
                  <pic:spPr>
                    <a:xfrm>
                      <a:off x="0" y="0"/>
                      <a:ext cx="5936615" cy="7767320"/>
                    </a:xfrm>
                    <a:prstGeom prst="rect">
                      <a:avLst/>
                    </a:prstGeom>
                    <a:noFill/>
                    <a:ln w="9525">
                      <a:noFill/>
                    </a:ln>
                  </pic:spPr>
                </pic:pic>
              </a:graphicData>
            </a:graphic>
          </wp:inline>
        </w:drawing>
      </w:r>
    </w:p>
    <w:p>
      <w:pPr>
        <w:numPr>
          <w:ilvl w:val="0"/>
          <w:numId w:val="0"/>
        </w:numPr>
      </w:pPr>
      <w:r>
        <w:drawing>
          <wp:inline distT="0" distB="0" distL="114300" distR="114300">
            <wp:extent cx="5937250" cy="3700780"/>
            <wp:effectExtent l="0" t="0" r="6350" b="4445"/>
            <wp:docPr id="19" name="図形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形 4"/>
                    <pic:cNvPicPr>
                      <a:picLocks noChangeAspect="1"/>
                    </pic:cNvPicPr>
                  </pic:nvPicPr>
                  <pic:blipFill>
                    <a:blip r:embed="rId14"/>
                    <a:stretch>
                      <a:fillRect/>
                    </a:stretch>
                  </pic:blipFill>
                  <pic:spPr>
                    <a:xfrm>
                      <a:off x="0" y="0"/>
                      <a:ext cx="5937250" cy="3700780"/>
                    </a:xfrm>
                    <a:prstGeom prst="rect">
                      <a:avLst/>
                    </a:prstGeom>
                    <a:noFill/>
                    <a:ln w="9525">
                      <a:noFill/>
                    </a:ln>
                  </pic:spPr>
                </pic:pic>
              </a:graphicData>
            </a:graphic>
          </wp:inline>
        </w:drawing>
      </w:r>
    </w:p>
    <w:p>
      <w:pPr>
        <w:numPr>
          <w:ilvl w:val="0"/>
          <w:numId w:val="0"/>
        </w:numPr>
      </w:pPr>
      <w:r>
        <w:drawing>
          <wp:inline distT="0" distB="0" distL="114300" distR="114300">
            <wp:extent cx="5934710" cy="8251825"/>
            <wp:effectExtent l="0" t="0" r="8890" b="6350"/>
            <wp:docPr id="20" name="図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図形 5"/>
                    <pic:cNvPicPr>
                      <a:picLocks noChangeAspect="1"/>
                    </pic:cNvPicPr>
                  </pic:nvPicPr>
                  <pic:blipFill>
                    <a:blip r:embed="rId15"/>
                    <a:stretch>
                      <a:fillRect/>
                    </a:stretch>
                  </pic:blipFill>
                  <pic:spPr>
                    <a:xfrm>
                      <a:off x="0" y="0"/>
                      <a:ext cx="5934710" cy="8251825"/>
                    </a:xfrm>
                    <a:prstGeom prst="rect">
                      <a:avLst/>
                    </a:prstGeom>
                    <a:noFill/>
                    <a:ln w="9525">
                      <a:noFill/>
                    </a:ln>
                  </pic:spPr>
                </pic:pic>
              </a:graphicData>
            </a:graphic>
          </wp:inline>
        </w:drawing>
      </w:r>
    </w:p>
    <w:p>
      <w:pPr>
        <w:numPr>
          <w:ilvl w:val="0"/>
          <w:numId w:val="0"/>
        </w:numPr>
        <w:rPr>
          <w:rFonts w:hint="eastAsia"/>
          <w:lang w:eastAsia="ja-JP"/>
        </w:rPr>
      </w:pPr>
      <w:r>
        <w:rPr>
          <w:rFonts w:hint="eastAsia"/>
          <w:lang w:eastAsia="ja-JP"/>
        </w:rPr>
        <w:br w:type="page"/>
      </w:r>
    </w:p>
    <w:p>
      <w:pPr>
        <w:numPr>
          <w:ilvl w:val="0"/>
          <w:numId w:val="3"/>
        </w:numPr>
        <w:ind w:left="220" w:leftChars="0" w:firstLine="0" w:firstLineChars="0"/>
        <w:rPr>
          <w:rFonts w:hint="eastAsia" w:ascii="ＭＳ Ｐゴシック" w:hAnsi="ＭＳ Ｐゴシック" w:eastAsia="ＭＳ Ｐゴシック" w:cs="ＭＳ Ｐゴシック"/>
          <w:b w:val="0"/>
          <w:bCs/>
          <w:color w:val="auto"/>
          <w:sz w:val="24"/>
          <w:szCs w:val="24"/>
          <w:highlight w:val="none"/>
          <w:u w:val="single"/>
          <w:lang w:eastAsia="ja-JP"/>
        </w:rPr>
      </w:pPr>
      <w:r>
        <w:rPr>
          <w:rFonts w:hint="eastAsia" w:ascii="ＭＳ Ｐゴシック" w:hAnsi="ＭＳ Ｐゴシック" w:eastAsia="ＭＳ Ｐゴシック" w:cs="ＭＳ Ｐゴシック"/>
          <w:b/>
          <w:bCs w:val="0"/>
          <w:color w:val="auto"/>
          <w:sz w:val="24"/>
          <w:szCs w:val="24"/>
          <w:highlight w:val="none"/>
          <w:u w:val="single"/>
          <w:lang w:eastAsia="ja-JP"/>
        </w:rPr>
        <w:t>国土交通省　駅まちデザイン検討会</w:t>
      </w:r>
    </w:p>
    <w:p>
      <w:pPr>
        <w:numPr>
          <w:ilvl w:val="0"/>
          <w:numId w:val="0"/>
        </w:numPr>
        <w:ind w:left="220" w:leftChars="0"/>
        <w:rPr>
          <w:rFonts w:hint="eastAsia" w:ascii="ＭＳ Ｐゴシック" w:hAnsi="ＭＳ Ｐゴシック" w:eastAsia="ＭＳ Ｐゴシック" w:cs="ＭＳ Ｐゴシック"/>
          <w:b w:val="0"/>
          <w:bCs/>
          <w:color w:val="auto"/>
          <w:sz w:val="22"/>
          <w:szCs w:val="22"/>
          <w:highlight w:val="none"/>
          <w:u w:val="none"/>
          <w:lang w:eastAsia="ja-JP"/>
        </w:rPr>
      </w:pPr>
      <w:r>
        <w:rPr>
          <w:rFonts w:hint="eastAsia" w:ascii="ＭＳ Ｐゴシック" w:hAnsi="ＭＳ Ｐゴシック" w:eastAsia="ＭＳ Ｐゴシック" w:cs="ＭＳ Ｐゴシック"/>
          <w:b w:val="0"/>
          <w:bCs/>
          <w:color w:val="auto"/>
          <w:sz w:val="22"/>
          <w:szCs w:val="22"/>
          <w:highlight w:val="none"/>
          <w:u w:val="none"/>
          <w:lang w:eastAsia="ja-JP"/>
        </w:rPr>
        <w:t>　　駅周辺の設計（デザイン）に特化した国土交通省の検討会。デザインの進め方や国内</w:t>
      </w:r>
      <w:r>
        <w:rPr>
          <w:rFonts w:hint="eastAsia" w:ascii="ＭＳ Ｐゴシック" w:hAnsi="ＭＳ Ｐゴシック" w:eastAsia="ＭＳ Ｐゴシック" w:cs="ＭＳ Ｐゴシック"/>
          <w:b w:val="0"/>
          <w:bCs/>
          <w:color w:val="auto"/>
          <w:sz w:val="22"/>
          <w:szCs w:val="22"/>
          <w:highlight w:val="none"/>
          <w:u w:val="none"/>
          <w:lang w:val="en-US" w:eastAsia="ja-JP"/>
        </w:rPr>
        <w:t>18箇所の</w:t>
      </w:r>
      <w:bookmarkStart w:id="1" w:name="_GoBack"/>
      <w:bookmarkEnd w:id="1"/>
      <w:r>
        <w:rPr>
          <w:rFonts w:hint="eastAsia" w:ascii="ＭＳ Ｐゴシック" w:hAnsi="ＭＳ Ｐゴシック" w:eastAsia="ＭＳ Ｐゴシック" w:cs="ＭＳ Ｐゴシック"/>
          <w:b w:val="0"/>
          <w:bCs/>
          <w:color w:val="auto"/>
          <w:sz w:val="22"/>
          <w:szCs w:val="22"/>
          <w:highlight w:val="none"/>
          <w:u w:val="none"/>
          <w:lang w:val="en-US" w:eastAsia="ja-JP"/>
        </w:rPr>
        <w:t>事例が含まれている。</w:t>
      </w:r>
    </w:p>
    <w:p>
      <w:pPr>
        <w:numPr>
          <w:ilvl w:val="0"/>
          <w:numId w:val="0"/>
        </w:numPr>
      </w:pPr>
      <w:r>
        <w:drawing>
          <wp:inline distT="0" distB="0" distL="114300" distR="114300">
            <wp:extent cx="5523865" cy="8023860"/>
            <wp:effectExtent l="0" t="0" r="635" b="5715"/>
            <wp:docPr id="26" name="図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図形 1"/>
                    <pic:cNvPicPr>
                      <a:picLocks noChangeAspect="1"/>
                    </pic:cNvPicPr>
                  </pic:nvPicPr>
                  <pic:blipFill>
                    <a:blip r:embed="rId16"/>
                    <a:stretch>
                      <a:fillRect/>
                    </a:stretch>
                  </pic:blipFill>
                  <pic:spPr>
                    <a:xfrm>
                      <a:off x="0" y="0"/>
                      <a:ext cx="5523865" cy="8023860"/>
                    </a:xfrm>
                    <a:prstGeom prst="rect">
                      <a:avLst/>
                    </a:prstGeom>
                    <a:noFill/>
                    <a:ln w="9525">
                      <a:noFill/>
                    </a:ln>
                  </pic:spPr>
                </pic:pic>
              </a:graphicData>
            </a:graphic>
          </wp:inline>
        </w:drawing>
      </w:r>
    </w:p>
    <w:p>
      <w:pPr>
        <w:numPr>
          <w:ilvl w:val="0"/>
          <w:numId w:val="0"/>
        </w:numPr>
      </w:pPr>
      <w:r>
        <w:drawing>
          <wp:inline distT="0" distB="0" distL="114300" distR="114300">
            <wp:extent cx="5862955" cy="8902700"/>
            <wp:effectExtent l="0" t="0" r="4445" b="3175"/>
            <wp:docPr id="29" name="図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図形 2"/>
                    <pic:cNvPicPr>
                      <a:picLocks noChangeAspect="1"/>
                    </pic:cNvPicPr>
                  </pic:nvPicPr>
                  <pic:blipFill>
                    <a:blip r:embed="rId17"/>
                    <a:stretch>
                      <a:fillRect/>
                    </a:stretch>
                  </pic:blipFill>
                  <pic:spPr>
                    <a:xfrm>
                      <a:off x="0" y="0"/>
                      <a:ext cx="5862955" cy="8902700"/>
                    </a:xfrm>
                    <a:prstGeom prst="rect">
                      <a:avLst/>
                    </a:prstGeom>
                    <a:noFill/>
                    <a:ln w="9525">
                      <a:noFill/>
                    </a:ln>
                  </pic:spPr>
                </pic:pic>
              </a:graphicData>
            </a:graphic>
          </wp:inline>
        </w:drawing>
      </w:r>
    </w:p>
    <w:p>
      <w:pPr>
        <w:numPr>
          <w:ilvl w:val="0"/>
          <w:numId w:val="0"/>
        </w:numPr>
        <w:rPr>
          <w:rFonts w:hint="eastAsia"/>
          <w:lang w:eastAsia="ja-JP"/>
        </w:rPr>
      </w:pPr>
    </w:p>
    <w:p>
      <w:pPr>
        <w:numPr>
          <w:ilvl w:val="0"/>
          <w:numId w:val="0"/>
        </w:numPr>
        <w:rPr>
          <w:rFonts w:hint="eastAsia" w:ascii="ＭＳ Ｐゴシック" w:hAnsi="ＭＳ Ｐゴシック" w:eastAsia="ＭＳ Ｐゴシック" w:cs="ＭＳ Ｐゴシック"/>
          <w:b/>
          <w:color w:val="auto"/>
          <w:sz w:val="24"/>
          <w:szCs w:val="24"/>
          <w:highlight w:val="none"/>
          <w:u w:val="single"/>
          <w:lang w:eastAsia="ja-JP"/>
        </w:rPr>
      </w:pPr>
      <w:r>
        <w:rPr>
          <w:rFonts w:hint="eastAsia" w:ascii="ＭＳ Ｐゴシック" w:hAnsi="ＭＳ Ｐゴシック" w:eastAsia="ＭＳ Ｐゴシック" w:cs="ＭＳ Ｐゴシック"/>
          <w:b/>
          <w:color w:val="auto"/>
          <w:sz w:val="24"/>
          <w:szCs w:val="24"/>
          <w:highlight w:val="none"/>
          <w:u w:val="single"/>
          <w:lang w:eastAsia="ja-JP"/>
        </w:rPr>
        <w:t>３．マーケティングおよびブランディング戦略の研究と適用</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r>
        <w:rPr>
          <w:rFonts w:hint="eastAsia" w:ascii="ＭＳ Ｐゴシック" w:hAnsi="ＭＳ Ｐゴシック" w:eastAsia="ＭＳ Ｐゴシック" w:cs="ＭＳ Ｐゴシック"/>
          <w:b w:val="0"/>
          <w:bCs/>
          <w:color w:val="auto"/>
          <w:sz w:val="22"/>
          <w:highlight w:val="none"/>
          <w:u w:val="none"/>
          <w:lang w:eastAsia="ja-JP"/>
        </w:rPr>
        <w:t>流山市のマーケティング課の成功例を参考にして、マーケティング戦略およびその上位のブランディング戦略を研究し、その手法が適用できると考えました。</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八千代台駅周辺をマーケティング手法を使って簡易分析してみました。</w:t>
      </w:r>
    </w:p>
    <w:p>
      <w:pPr>
        <w:keepNext w:val="0"/>
        <w:keepLines w:val="0"/>
        <w:pageBreakBefore w:val="0"/>
        <w:widowControl/>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5"/>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４Cとビジネスモデル</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6"/>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駅の利用者</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Customer</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P/Lが＋</w:t>
      </w:r>
    </w:p>
    <w:p>
      <w:pPr>
        <w:keepNext w:val="0"/>
        <w:keepLines w:val="0"/>
        <w:pageBreakBefore w:val="0"/>
        <w:widowControl/>
        <w:numPr>
          <w:ilvl w:val="0"/>
          <w:numId w:val="6"/>
        </w:numPr>
        <w:kinsoku/>
        <w:wordWrap/>
        <w:overflowPunct/>
        <w:topLinePunct w:val="0"/>
        <w:autoSpaceDE/>
        <w:autoSpaceDN/>
        <w:bidi w:val="0"/>
        <w:adjustRightInd/>
        <w:snapToGrid/>
        <w:spacing w:beforeLines="0" w:after="0" w:afterLines="0"/>
        <w:ind w:left="0" w:leftChars="0" w:firstLine="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他の駅への流出</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Competitor</w:t>
      </w:r>
    </w:p>
    <w:p>
      <w:pPr>
        <w:keepNext w:val="0"/>
        <w:keepLines w:val="0"/>
        <w:pageBreakBefore w:val="0"/>
        <w:widowControl/>
        <w:numPr>
          <w:ilvl w:val="0"/>
          <w:numId w:val="6"/>
        </w:numPr>
        <w:kinsoku/>
        <w:wordWrap/>
        <w:overflowPunct/>
        <w:topLinePunct w:val="0"/>
        <w:autoSpaceDE/>
        <w:autoSpaceDN/>
        <w:bidi w:val="0"/>
        <w:adjustRightInd/>
        <w:snapToGrid/>
        <w:spacing w:beforeLines="0" w:after="0" w:afterLines="0"/>
        <w:ind w:left="0" w:leftChars="0" w:firstLine="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八千代市の財政</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Company</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P/Lが＋</w:t>
      </w:r>
    </w:p>
    <w:p>
      <w:pPr>
        <w:keepNext w:val="0"/>
        <w:keepLines w:val="0"/>
        <w:pageBreakBefore w:val="0"/>
        <w:widowControl/>
        <w:numPr>
          <w:ilvl w:val="0"/>
          <w:numId w:val="6"/>
        </w:numPr>
        <w:kinsoku/>
        <w:wordWrap/>
        <w:overflowPunct/>
        <w:topLinePunct w:val="0"/>
        <w:autoSpaceDE/>
        <w:autoSpaceDN/>
        <w:bidi w:val="0"/>
        <w:adjustRightInd/>
        <w:snapToGrid/>
        <w:spacing w:beforeLines="0" w:after="0" w:afterLines="0"/>
        <w:ind w:left="0" w:leftChars="0" w:firstLine="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駅周辺の事業者</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Co-operator</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P/Lが＋</w:t>
      </w:r>
    </w:p>
    <w:p>
      <w:pPr>
        <w:keepNext w:val="0"/>
        <w:keepLines w:val="0"/>
        <w:pageBreakBefore w:val="0"/>
        <w:widowControl/>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３者のP/L（損益）が黒字でなければ持続可能で継続的なビジネスモデルが成り立たない</w:t>
      </w:r>
    </w:p>
    <w:p>
      <w:pPr>
        <w:keepNext w:val="0"/>
        <w:keepLines w:val="0"/>
        <w:pageBreakBefore w:val="0"/>
        <w:widowControl/>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7"/>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駅の利用者</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八千代台だけでなく花見川区の住人や通勤者</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他都市への通勤者</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他駅からのあるいは他駅への買い物客</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顧客ペルソナ</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1136"/>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年齢、男女、勤労者、年金受給者、障害者、単身者、</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共働き子育て世帯（DEWKS）</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7"/>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他の駅への転出</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津田沼駅や流山おおたかの森駅など</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7"/>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八千代市の財政</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歳入の41%が市税 405億円（令和4年度）</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市税の87%が市民税と固定資産税</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市税を含む自主財源（地方税、使用料、手数料、など）全体では、55%</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rPr>
      </w:pPr>
      <w:r>
        <w:rPr>
          <w:rFonts w:hint="eastAsia" w:ascii="ＭＳ Ｐゴシック" w:hAnsi="ＭＳ Ｐゴシック" w:eastAsia="ＭＳ Ｐゴシック" w:cs="ＭＳ Ｐゴシック"/>
          <w:sz w:val="21"/>
        </w:rPr>
        <mc:AlternateContent>
          <mc:Choice Requires="wps">
            <w:drawing>
              <wp:anchor distT="0" distB="0" distL="114300" distR="114300" simplePos="0" relativeHeight="251674624" behindDoc="0" locked="0" layoutInCell="1" allowOverlap="1">
                <wp:simplePos x="0" y="0"/>
                <wp:positionH relativeFrom="column">
                  <wp:posOffset>2098040</wp:posOffset>
                </wp:positionH>
                <wp:positionV relativeFrom="paragraph">
                  <wp:posOffset>1898650</wp:posOffset>
                </wp:positionV>
                <wp:extent cx="2085975" cy="171450"/>
                <wp:effectExtent l="1270" t="19050" r="8255" b="76200"/>
                <wp:wrapNone/>
                <wp:docPr id="8" name="直線矢印コネクタ 8"/>
                <wp:cNvGraphicFramePr/>
                <a:graphic xmlns:a="http://schemas.openxmlformats.org/drawingml/2006/main">
                  <a:graphicData uri="http://schemas.microsoft.com/office/word/2010/wordprocessingShape">
                    <wps:wsp>
                      <wps:cNvCnPr/>
                      <wps:spPr>
                        <a:xfrm>
                          <a:off x="3241040" y="2708275"/>
                          <a:ext cx="2085975" cy="171450"/>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65.2pt;margin-top:149.5pt;height:13.5pt;width:164.25pt;z-index:251674624;mso-width-relative:page;mso-height-relative:page;" filled="f" stroked="t" coordsize="21600,21600" o:gfxdata="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D9B5h92QAAAAsBAAAPAAAA&#10;AAAAAAEAIAAAACIAAABkcnMvZG93bnJldi54bWxQSwECFAAUAAAACACHTuJAOda/jxQCAADHAwAA&#10;DgAAAAAAAAABACAAAAAoAQAAZHJzL2Uyb0RvYy54bWxQSwUGAAAAAAYABgBZAQAArgUAAAAA&#10;">
                <v:fill on="f" focussize="0,0"/>
                <v:stroke weight="3pt" color="#4A7EBB [3204]" joinstyle="round" endarrow="open"/>
                <v:imagedata o:title=""/>
                <o:lock v:ext="edit" aspectratio="f"/>
              </v:shape>
            </w:pict>
          </mc:Fallback>
        </mc:AlternateContent>
      </w:r>
      <w:r>
        <w:rPr>
          <w:rFonts w:hint="eastAsia" w:ascii="ＭＳ Ｐゴシック" w:hAnsi="ＭＳ Ｐゴシック" w:eastAsia="ＭＳ Ｐゴシック" w:cs="ＭＳ Ｐゴシック"/>
          <w:sz w:val="21"/>
        </w:rPr>
        <mc:AlternateContent>
          <mc:Choice Requires="wps">
            <w:drawing>
              <wp:anchor distT="0" distB="0" distL="114300" distR="114300" simplePos="0" relativeHeight="251673600" behindDoc="0" locked="0" layoutInCell="1" allowOverlap="1">
                <wp:simplePos x="0" y="0"/>
                <wp:positionH relativeFrom="column">
                  <wp:posOffset>1755140</wp:posOffset>
                </wp:positionH>
                <wp:positionV relativeFrom="paragraph">
                  <wp:posOffset>412750</wp:posOffset>
                </wp:positionV>
                <wp:extent cx="2381250" cy="104775"/>
                <wp:effectExtent l="0" t="4445" r="0" b="52705"/>
                <wp:wrapNone/>
                <wp:docPr id="9" name="直線矢印コネクタ 9"/>
                <wp:cNvGraphicFramePr/>
                <a:graphic xmlns:a="http://schemas.openxmlformats.org/drawingml/2006/main">
                  <a:graphicData uri="http://schemas.microsoft.com/office/word/2010/wordprocessingShape">
                    <wps:wsp>
                      <wps:cNvCnPr/>
                      <wps:spPr>
                        <a:xfrm>
                          <a:off x="2879090" y="1222375"/>
                          <a:ext cx="2381250" cy="104775"/>
                        </a:xfrm>
                        <a:prstGeom prst="straightConnector1">
                          <a:avLst/>
                        </a:prstGeom>
                        <a:ln w="381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38.2pt;margin-top:32.5pt;height:8.25pt;width:187.5pt;z-index:251673600;mso-width-relative:page;mso-height-relative:page;" filled="f" stroked="t" coordsize="21600,21600" o:gfxdata="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5sQWl1wAAAAkBAAAPAAAAAAAA&#10;AAEAIAAAACIAAABkcnMvZG93bnJldi54bWxQSwECFAAUAAAACACHTuJAGygHIxMCAADHAwAADgAA&#10;AAAAAAABACAAAAAmAQAAZHJzL2Uyb0RvYy54bWxQSwUGAAAAAAYABgBZAQAAqwUAAAAA&#10;">
                <v:fill on="f" focussize="0,0"/>
                <v:stroke weight="3pt" color="#4A7EBB [3204]" joinstyle="round" endarrow="open"/>
                <v:imagedata o:title=""/>
                <o:lock v:ext="edit" aspectratio="f"/>
              </v:shape>
            </w:pict>
          </mc:Fallback>
        </mc:AlternateContent>
      </w:r>
      <w:r>
        <w:rPr>
          <w:rFonts w:hint="eastAsia" w:ascii="ＭＳ Ｐゴシック" w:hAnsi="ＭＳ Ｐゴシック" w:eastAsia="ＭＳ Ｐゴシック" w:cs="ＭＳ Ｐゴシック"/>
        </w:rPr>
        <w:drawing>
          <wp:inline distT="0" distB="0" distL="114300" distR="114300">
            <wp:extent cx="2599690" cy="2415540"/>
            <wp:effectExtent l="0" t="0" r="635" b="3810"/>
            <wp:docPr id="10" name="図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形 10"/>
                    <pic:cNvPicPr>
                      <a:picLocks noChangeAspect="1"/>
                    </pic:cNvPicPr>
                  </pic:nvPicPr>
                  <pic:blipFill>
                    <a:blip r:embed="rId18"/>
                    <a:stretch>
                      <a:fillRect/>
                    </a:stretch>
                  </pic:blipFill>
                  <pic:spPr>
                    <a:xfrm>
                      <a:off x="0" y="0"/>
                      <a:ext cx="2599690" cy="2415540"/>
                    </a:xfrm>
                    <a:prstGeom prst="rect">
                      <a:avLst/>
                    </a:prstGeom>
                    <a:noFill/>
                    <a:ln w="9525">
                      <a:noFill/>
                    </a:ln>
                  </pic:spPr>
                </pic:pic>
              </a:graphicData>
            </a:graphic>
          </wp:inline>
        </w:drawing>
      </w:r>
      <w:r>
        <w:rPr>
          <w:rFonts w:hint="eastAsia" w:ascii="ＭＳ Ｐゴシック" w:hAnsi="ＭＳ Ｐゴシック" w:eastAsia="ＭＳ Ｐゴシック" w:cs="ＭＳ Ｐゴシック"/>
        </w:rPr>
        <w:drawing>
          <wp:inline distT="0" distB="0" distL="114300" distR="114300">
            <wp:extent cx="2169160" cy="2244090"/>
            <wp:effectExtent l="0" t="0" r="2540" b="3810"/>
            <wp:docPr id="11" name="図形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形 11"/>
                    <pic:cNvPicPr>
                      <a:picLocks noChangeAspect="1"/>
                    </pic:cNvPicPr>
                  </pic:nvPicPr>
                  <pic:blipFill>
                    <a:blip r:embed="rId19"/>
                    <a:stretch>
                      <a:fillRect/>
                    </a:stretch>
                  </pic:blipFill>
                  <pic:spPr>
                    <a:xfrm>
                      <a:off x="0" y="0"/>
                      <a:ext cx="2169160" cy="224409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lang w:val="en-US" w:eastAsia="ja-JP"/>
        </w:rPr>
      </w:pPr>
      <w:r>
        <w:rPr>
          <w:rFonts w:hint="eastAsia" w:ascii="ＭＳ Ｐゴシック" w:hAnsi="ＭＳ Ｐゴシック" w:eastAsia="ＭＳ Ｐゴシック" w:cs="ＭＳ Ｐゴシック"/>
          <w:lang w:val="en-US" w:eastAsia="ja-JP"/>
        </w:rPr>
        <w:t>中長期財政収支の見通しでは収支がマイナスとなる予測となっている。長期的に歳入を増やすか、歳出を減らす必要がある。</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lang w:val="en-US" w:eastAsia="ja-JP"/>
        </w:rPr>
      </w:pPr>
      <w:r>
        <w:rPr>
          <w:rFonts w:hint="eastAsia" w:ascii="ＭＳ Ｐゴシック" w:hAnsi="ＭＳ Ｐゴシック" w:eastAsia="ＭＳ Ｐゴシック" w:cs="ＭＳ Ｐゴシック"/>
        </w:rPr>
        <w:drawing>
          <wp:inline distT="0" distB="0" distL="114300" distR="114300">
            <wp:extent cx="4396105" cy="3091180"/>
            <wp:effectExtent l="0" t="0" r="4445" b="4445"/>
            <wp:docPr id="14" name="図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形 5"/>
                    <pic:cNvPicPr>
                      <a:picLocks noChangeAspect="1"/>
                    </pic:cNvPicPr>
                  </pic:nvPicPr>
                  <pic:blipFill>
                    <a:blip r:embed="rId20"/>
                    <a:stretch>
                      <a:fillRect/>
                    </a:stretch>
                  </pic:blipFill>
                  <pic:spPr>
                    <a:xfrm>
                      <a:off x="0" y="0"/>
                      <a:ext cx="4396105" cy="309118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rPr>
      </w:pP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lang w:val="en-US" w:eastAsia="ja-JP"/>
        </w:rPr>
      </w:pPr>
      <w:r>
        <w:rPr>
          <w:rFonts w:hint="eastAsia" w:ascii="ＭＳ Ｐゴシック" w:hAnsi="ＭＳ Ｐゴシック" w:eastAsia="ＭＳ Ｐゴシック" w:cs="ＭＳ Ｐゴシック"/>
          <w:lang w:eastAsia="ja-JP"/>
        </w:rPr>
        <w:t>経常的な収入に対して、経常的な支出がどの程度あるかを表す「経常収支比率」は令和</w:t>
      </w:r>
      <w:r>
        <w:rPr>
          <w:rFonts w:hint="eastAsia" w:ascii="ＭＳ Ｐゴシック" w:hAnsi="ＭＳ Ｐゴシック" w:eastAsia="ＭＳ Ｐゴシック" w:cs="ＭＳ Ｐゴシック"/>
          <w:lang w:val="en-US" w:eastAsia="ja-JP"/>
        </w:rPr>
        <w:t>4年度では、95.0%となり千葉県平均92.4%よりも高い。経常終始比率は、財政構造の弾力性を判断するための指標であり、類似団体との比較でもかなり高い。つまり財政が硬直化して弾力性が低く余裕がない。</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rPr>
      </w:pPr>
      <w:r>
        <w:rPr>
          <w:rFonts w:hint="eastAsia" w:ascii="ＭＳ Ｐゴシック" w:hAnsi="ＭＳ Ｐゴシック" w:eastAsia="ＭＳ Ｐゴシック" w:cs="ＭＳ Ｐゴシック"/>
        </w:rPr>
        <w:drawing>
          <wp:inline distT="0" distB="0" distL="114300" distR="114300">
            <wp:extent cx="5484495" cy="3661410"/>
            <wp:effectExtent l="0" t="0" r="1905" b="5715"/>
            <wp:docPr id="12" name="図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形 3"/>
                    <pic:cNvPicPr>
                      <a:picLocks noChangeAspect="1"/>
                    </pic:cNvPicPr>
                  </pic:nvPicPr>
                  <pic:blipFill>
                    <a:blip r:embed="rId21"/>
                    <a:stretch>
                      <a:fillRect/>
                    </a:stretch>
                  </pic:blipFill>
                  <pic:spPr>
                    <a:xfrm>
                      <a:off x="0" y="0"/>
                      <a:ext cx="5484495" cy="366141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ind w:firstLine="420"/>
        <w:jc w:val="left"/>
        <w:textAlignment w:val="auto"/>
        <w:outlineLvl w:val="9"/>
        <w:rPr>
          <w:rFonts w:hint="eastAsia" w:ascii="ＭＳ Ｐゴシック" w:hAnsi="ＭＳ Ｐゴシック" w:eastAsia="ＭＳ Ｐゴシック" w:cs="ＭＳ Ｐゴシック"/>
        </w:rPr>
      </w:pP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7"/>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駅周辺の事業者</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ショッピングセンター　エルム京成、八千代台駅東口通り商店街など</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br w:type="page"/>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5"/>
        </w:numPr>
        <w:kinsoku/>
        <w:wordWrap/>
        <w:overflowPunct/>
        <w:topLinePunct w:val="0"/>
        <w:autoSpaceDE/>
        <w:autoSpaceDN/>
        <w:bidi w:val="0"/>
        <w:adjustRightInd/>
        <w:snapToGrid/>
        <w:spacing w:beforeLines="0" w:after="0" w:afterLines="0"/>
        <w:ind w:left="0" w:leftChars="0" w:firstLine="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八千代台駅周辺のSWOT分析</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tbl>
      <w:tblPr>
        <w:tblStyle w:val="25"/>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2"/>
        <w:gridCol w:w="3720"/>
        <w:gridCol w:w="3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2"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tc>
        <w:tc>
          <w:tcPr>
            <w:tcW w:w="3720"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内部環境</w:t>
            </w:r>
          </w:p>
        </w:tc>
        <w:tc>
          <w:tcPr>
            <w:tcW w:w="3944"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外部環境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2"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プラス</w:t>
            </w:r>
          </w:p>
        </w:tc>
        <w:tc>
          <w:tcPr>
            <w:tcW w:w="3720"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強みS</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大型店舗エルムが充実</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京成特急電車が停車</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一戸建て住宅地が多い</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高校までの若い学生はエルムに集まる</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駅近に小学校がある</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エスニック系レストランが多い</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tc>
        <w:tc>
          <w:tcPr>
            <w:tcW w:w="3944"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機会O</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温暖な気候</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u w:val="none"/>
                <w:lang w:val="en-US" w:eastAsia="ja-JP"/>
              </w:rPr>
            </w:pPr>
            <w:r>
              <w:rPr>
                <w:rFonts w:hint="eastAsia" w:ascii="ＭＳ Ｐゴシック" w:hAnsi="ＭＳ Ｐゴシック" w:eastAsia="ＭＳ Ｐゴシック" w:cs="ＭＳ Ｐゴシック"/>
                <w:sz w:val="21"/>
                <w:u w:val="none"/>
                <w:lang w:val="en-US" w:eastAsia="ja-JP"/>
              </w:rPr>
              <w:t>成田空港へ電車で35分</w:t>
            </w:r>
            <w:r>
              <w:rPr>
                <w:rFonts w:hint="eastAsia" w:ascii="ＭＳ Ｐゴシック" w:hAnsi="ＭＳ Ｐゴシック" w:eastAsia="ＭＳ Ｐゴシック" w:cs="ＭＳ Ｐゴシック"/>
                <w:sz w:val="21"/>
                <w:szCs w:val="21"/>
                <w:u w:val="none"/>
                <w:vertAlign w:val="superscript"/>
                <w:lang w:val="en-US" w:eastAsia="ja-JP"/>
              </w:rPr>
              <w:t>(*1)</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安定した北総台地上に立地（Googleのデータセンターも印西市に立地）</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東京都心への通勤1時間以内</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花見川沿いのサイクリングロード</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92"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マイナス</w:t>
            </w:r>
          </w:p>
        </w:tc>
        <w:tc>
          <w:tcPr>
            <w:tcW w:w="3720"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弱みW</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既存市街地の老朽化</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高齢化が進んでいる</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歩道が少ない</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商店街に空き店舗多い</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人の滞留場所が少ない</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図書館が古く暗い</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駅周辺に老朽化したビルが多く地震等災害による倒壊が危険</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空き家の増加（60戸/年）</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公共施設の老朽化、IT化されていない、プロジェクターもない</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tc>
        <w:tc>
          <w:tcPr>
            <w:tcW w:w="3944" w:type="dxa"/>
            <w:tcBorders>
              <w:top w:val="single" w:color="auto" w:sz="4" w:space="0"/>
              <w:left w:val="single" w:color="auto" w:sz="4" w:space="0"/>
              <w:bottom w:val="single" w:color="auto" w:sz="4" w:space="0"/>
              <w:right w:val="single" w:color="auto" w:sz="4" w:space="0"/>
              <w:tl2br w:val="nil"/>
              <w:tr2bl w:val="nil"/>
            </w:tcBorders>
            <w:vAlign w:val="top"/>
          </w:tcPr>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脅威T</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外国人が増加</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流山市など周辺都市（東葉高速線沿線）への人口流出</w:t>
            </w:r>
          </w:p>
          <w:p>
            <w:pPr>
              <w:keepNext w:val="0"/>
              <w:keepLines w:val="0"/>
              <w:pageBreakBefore w:val="0"/>
              <w:widowControl/>
              <w:numPr>
                <w:ilvl w:val="0"/>
                <w:numId w:val="8"/>
              </w:numPr>
              <w:kinsoku/>
              <w:wordWrap/>
              <w:overflowPunct/>
              <w:topLinePunct w:val="0"/>
              <w:autoSpaceDE/>
              <w:autoSpaceDN/>
              <w:bidi w:val="0"/>
              <w:adjustRightInd/>
              <w:snapToGrid/>
              <w:spacing w:beforeLines="0" w:after="0" w:afterLines="0"/>
              <w:ind w:left="420" w:leftChars="0" w:hanging="420" w:firstLineChars="0"/>
              <w:jc w:val="left"/>
              <w:textAlignment w:val="auto"/>
              <w:outlineLvl w:val="9"/>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津田沼駅南口の再開発</w:t>
            </w:r>
          </w:p>
          <w:p>
            <w:pPr>
              <w:keepNext w:val="0"/>
              <w:keepLines w:val="0"/>
              <w:pageBreakBefore w:val="0"/>
              <w:widowControl/>
              <w:numPr>
                <w:ilvl w:val="0"/>
                <w:numId w:val="0"/>
              </w:numPr>
              <w:kinsoku/>
              <w:wordWrap/>
              <w:overflowPunct/>
              <w:topLinePunct w:val="0"/>
              <w:autoSpaceDE/>
              <w:autoSpaceDN/>
              <w:bidi w:val="0"/>
              <w:adjustRightInd/>
              <w:snapToGrid/>
              <w:spacing w:beforeLines="0" w:after="0" w:afterLines="0"/>
              <w:jc w:val="left"/>
              <w:textAlignment w:val="auto"/>
              <w:outlineLvl w:val="9"/>
              <w:rPr>
                <w:rFonts w:hint="eastAsia" w:ascii="ＭＳ Ｐゴシック" w:hAnsi="ＭＳ Ｐゴシック" w:eastAsia="ＭＳ Ｐゴシック" w:cs="ＭＳ Ｐゴシック"/>
                <w:sz w:val="21"/>
                <w:lang w:val="en-US" w:eastAsia="ja-JP"/>
              </w:rPr>
            </w:pPr>
          </w:p>
        </w:tc>
      </w:tr>
    </w:tbl>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r>
        <w:rPr>
          <w:rFonts w:hint="eastAsia" w:ascii="ＭＳ Ｐゴシック" w:hAnsi="ＭＳ Ｐゴシック" w:eastAsia="ＭＳ Ｐゴシック" w:cs="ＭＳ Ｐゴシック"/>
          <w:b w:val="0"/>
          <w:bCs/>
          <w:color w:val="auto"/>
          <w:sz w:val="22"/>
          <w:highlight w:val="none"/>
          <w:u w:val="none"/>
          <w:lang w:val="en-US" w:eastAsia="ja-JP"/>
        </w:rPr>
        <w:t>(*1) 2027年3月末に開業予定の「GATEWAY NARITA」へも京成線新駅でアクセス可能</w:t>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r>
        <w:drawing>
          <wp:inline distT="0" distB="0" distL="114300" distR="114300">
            <wp:extent cx="5937885" cy="3096895"/>
            <wp:effectExtent l="0" t="0" r="5715" b="8255"/>
            <wp:docPr id="31" name="図形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形 6"/>
                    <pic:cNvPicPr>
                      <a:picLocks noChangeAspect="1"/>
                    </pic:cNvPicPr>
                  </pic:nvPicPr>
                  <pic:blipFill>
                    <a:blip r:embed="rId22"/>
                    <a:stretch>
                      <a:fillRect/>
                    </a:stretch>
                  </pic:blipFill>
                  <pic:spPr>
                    <a:xfrm>
                      <a:off x="0" y="0"/>
                      <a:ext cx="5937885" cy="3096895"/>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ascii="ＭＳ Ｐゴシック" w:hAnsi="ＭＳ Ｐゴシック" w:eastAsia="ＭＳ Ｐゴシック" w:cs="ＭＳ Ｐゴシック"/>
          <w:b w:val="0"/>
          <w:bCs/>
          <w:color w:val="auto"/>
          <w:sz w:val="22"/>
          <w:highlight w:val="none"/>
          <w:u w:val="none"/>
          <w:lang w:val="en-US" w:eastAsia="ja-JP"/>
        </w:rPr>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pPr>
      <w:r>
        <w:drawing>
          <wp:inline distT="0" distB="0" distL="114300" distR="114300">
            <wp:extent cx="5934710" cy="3042920"/>
            <wp:effectExtent l="0" t="0" r="8890" b="5080"/>
            <wp:docPr id="3" name="図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形 1"/>
                    <pic:cNvPicPr>
                      <a:picLocks noChangeAspect="1"/>
                    </pic:cNvPicPr>
                  </pic:nvPicPr>
                  <pic:blipFill>
                    <a:blip r:embed="rId23"/>
                    <a:stretch>
                      <a:fillRect/>
                    </a:stretch>
                  </pic:blipFill>
                  <pic:spPr>
                    <a:xfrm>
                      <a:off x="0" y="0"/>
                      <a:ext cx="5934710" cy="304292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firstLine="840" w:firstLineChars="0"/>
        <w:textAlignment w:val="auto"/>
        <w:outlineLvl w:val="9"/>
      </w:pP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pPr>
      <w:r>
        <w:drawing>
          <wp:inline distT="0" distB="0" distL="114300" distR="114300">
            <wp:extent cx="5934710" cy="3579495"/>
            <wp:effectExtent l="0" t="0" r="8890" b="1905"/>
            <wp:docPr id="13" name="図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形 2"/>
                    <pic:cNvPicPr>
                      <a:picLocks noChangeAspect="1"/>
                    </pic:cNvPicPr>
                  </pic:nvPicPr>
                  <pic:blipFill>
                    <a:blip r:embed="rId24"/>
                    <a:stretch>
                      <a:fillRect/>
                    </a:stretch>
                  </pic:blipFill>
                  <pic:spPr>
                    <a:xfrm>
                      <a:off x="0" y="0"/>
                      <a:ext cx="5934710" cy="3579495"/>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pPr>
      <w:r>
        <w:drawing>
          <wp:inline distT="0" distB="0" distL="114300" distR="114300">
            <wp:extent cx="5934075" cy="3591560"/>
            <wp:effectExtent l="0" t="0" r="0" b="8890"/>
            <wp:docPr id="30" name="図形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形 5"/>
                    <pic:cNvPicPr>
                      <a:picLocks noChangeAspect="1"/>
                    </pic:cNvPicPr>
                  </pic:nvPicPr>
                  <pic:blipFill>
                    <a:blip r:embed="rId25"/>
                    <a:stretch>
                      <a:fillRect/>
                    </a:stretch>
                  </pic:blipFill>
                  <pic:spPr>
                    <a:xfrm>
                      <a:off x="0" y="0"/>
                      <a:ext cx="5934075" cy="3591560"/>
                    </a:xfrm>
                    <a:prstGeom prst="rect">
                      <a:avLst/>
                    </a:prstGeom>
                    <a:noFill/>
                    <a:ln w="9525">
                      <a:noFill/>
                    </a:ln>
                  </pic:spPr>
                </pic:pic>
              </a:graphicData>
            </a:graphic>
          </wp:inline>
        </w:drawing>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lang w:val="en-US" w:eastAsia="ja-JP"/>
        </w:rPr>
      </w:pPr>
      <w:r>
        <w:rPr>
          <w:rFonts w:hint="eastAsia"/>
          <w:lang w:val="en-US" w:eastAsia="ja-JP"/>
        </w:rPr>
        <w:br w:type="page"/>
      </w:r>
    </w:p>
    <w:p>
      <w:pPr>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outlineLvl w:val="9"/>
        <w:rPr>
          <w:rFonts w:hint="eastAsia"/>
          <w:lang w:val="en-US" w:eastAsia="ja-JP"/>
        </w:rPr>
      </w:pPr>
    </w:p>
    <w:p>
      <w:pPr>
        <w:numPr>
          <w:ilvl w:val="0"/>
          <w:numId w:val="0"/>
        </w:numPr>
        <w:rPr>
          <w:rFonts w:hint="eastAsia" w:ascii="ＭＳ Ｐゴシック" w:hAnsi="ＭＳ Ｐゴシック" w:eastAsia="ＭＳ Ｐゴシック" w:cs="ＭＳ Ｐゴシック"/>
          <w:b/>
          <w:bCs/>
          <w:sz w:val="24"/>
          <w:szCs w:val="24"/>
          <w:u w:val="single"/>
          <w:lang w:val="en-US" w:eastAsia="ja-JP"/>
        </w:rPr>
      </w:pPr>
      <w:r>
        <w:rPr>
          <w:rFonts w:hint="eastAsia" w:ascii="ＭＳ Ｐゴシック" w:hAnsi="ＭＳ Ｐゴシック" w:eastAsia="ＭＳ Ｐゴシック" w:cs="ＭＳ Ｐゴシック"/>
          <w:b/>
          <w:bCs/>
          <w:sz w:val="24"/>
          <w:szCs w:val="24"/>
          <w:u w:val="single"/>
          <w:lang w:val="en-US" w:eastAsia="ja-JP"/>
        </w:rPr>
        <w:t>４．まちづくり手法としてのブランディング</w:t>
      </w:r>
    </w:p>
    <w:p>
      <w:pPr>
        <w:numPr>
          <w:ilvl w:val="0"/>
          <w:numId w:val="0"/>
        </w:numPr>
        <w:rPr>
          <w:rFonts w:hint="eastAsia" w:ascii="ＭＳ Ｐゴシック" w:hAnsi="ＭＳ Ｐゴシック" w:eastAsia="ＭＳ Ｐゴシック" w:cs="ＭＳ Ｐゴシック"/>
          <w:sz w:val="18"/>
          <w:szCs w:val="18"/>
          <w:lang w:val="en-US" w:eastAsia="ja-JP"/>
        </w:rPr>
      </w:pPr>
      <w:r>
        <w:rPr>
          <w:rFonts w:hint="eastAsia" w:ascii="ＭＳ Ｐゴシック" w:hAnsi="ＭＳ Ｐゴシック" w:eastAsia="ＭＳ Ｐゴシック" w:cs="ＭＳ Ｐゴシック"/>
          <w:sz w:val="18"/>
          <w:szCs w:val="18"/>
          <w:lang w:val="en-US" w:eastAsia="ja-JP"/>
        </w:rPr>
        <w:t>出典：「ブランディング教科書」　羽田康祐他　amazon.co.jpのみの限定発売</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ブランディングとは、ブランド戦略を実行していくこと。ブランド戦略はマーケティングの上位に位置付けられ、マーケティング活動そのものを規定するための上位戦略。ブランドとは、生活者1人1人の心の中にあるもの。つまり、生活者から見た独自の役割を築き、 感情移入が伴ったモノやサービスのこと。</w:t>
      </w:r>
    </w:p>
    <w:p>
      <w:pPr>
        <w:numPr>
          <w:ilvl w:val="0"/>
          <w:numId w:val="0"/>
        </w:numPr>
        <w:rPr>
          <w:rFonts w:hint="eastAsia" w:ascii="ＭＳ Ｐゴシック" w:hAnsi="ＭＳ Ｐゴシック" w:eastAsia="ＭＳ Ｐゴシック" w:cs="ＭＳ Ｐゴシック"/>
          <w:sz w:val="22"/>
          <w:szCs w:val="22"/>
          <w:lang w:val="en-US" w:eastAsia="ja-JP"/>
        </w:rPr>
      </w:pPr>
      <w:r>
        <w:rPr>
          <w:rFonts w:hint="eastAsia" w:ascii="ＭＳ Ｐゴシック" w:hAnsi="ＭＳ Ｐゴシック" w:eastAsia="ＭＳ Ｐゴシック" w:cs="ＭＳ Ｐゴシック"/>
          <w:sz w:val="22"/>
          <w:szCs w:val="22"/>
          <w:lang w:val="en-US" w:eastAsia="ja-JP"/>
        </w:rPr>
        <w:t>■　ブランディングの戦略立案ステップ</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b/>
          <w:bCs/>
          <w:sz w:val="21"/>
          <w:lang w:val="en-US" w:eastAsia="ja-JP"/>
        </w:rPr>
        <w:t>ステップ１：</w:t>
      </w:r>
      <w:r>
        <w:rPr>
          <w:rFonts w:hint="eastAsia" w:ascii="ＭＳ Ｐゴシック" w:hAnsi="ＭＳ Ｐゴシック" w:eastAsia="ＭＳ Ｐゴシック" w:cs="ＭＳ Ｐゴシック"/>
          <w:sz w:val="21"/>
          <w:lang w:val="en-US" w:eastAsia="ja-JP"/>
        </w:rPr>
        <w:t>ブランディングの立脚点を揃える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「ブランディングとは何か？」 をチームメンバーと共有する。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b/>
          <w:bCs/>
          <w:sz w:val="21"/>
          <w:lang w:val="en-US" w:eastAsia="ja-JP"/>
        </w:rPr>
        <w:t>ステップ 2：</w:t>
      </w:r>
      <w:r>
        <w:rPr>
          <w:rFonts w:hint="eastAsia" w:ascii="ＭＳ Ｐゴシック" w:hAnsi="ＭＳ Ｐゴシック" w:eastAsia="ＭＳ Ｐゴシック" w:cs="ＭＳ Ｐゴシック"/>
          <w:sz w:val="21"/>
          <w:lang w:val="en-US" w:eastAsia="ja-JP"/>
        </w:rPr>
        <w:t xml:space="preserve"> ブランドを取り巻く環境変化を捉える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外部環境の分析のこと。よく用いられる手法として長期的な視野を持つための「PEST分析」、競合（C） ブランドを上回る魅力で生活者（C）ニーズを満たし、利益を上げ続ける企業活動（C）を意味する「3C分析」。</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3C分析の目的は「市場・顧客」「競合」「自社」の3つを分析し、マーケティングのKFS（Key Factor for Success： 成功要因） を発見すること。</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b/>
          <w:bCs/>
          <w:sz w:val="21"/>
          <w:lang w:val="en-US" w:eastAsia="ja-JP"/>
        </w:rPr>
        <w:t>ステップ 3：</w:t>
      </w:r>
      <w:r>
        <w:rPr>
          <w:rFonts w:hint="eastAsia" w:ascii="ＭＳ Ｐゴシック" w:hAnsi="ＭＳ Ｐゴシック" w:eastAsia="ＭＳ Ｐゴシック" w:cs="ＭＳ Ｐゴシック"/>
          <w:sz w:val="21"/>
          <w:lang w:val="en-US" w:eastAsia="ja-JP"/>
        </w:rPr>
        <w:t xml:space="preserve"> ブランド戦略を策定する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「独自の役割を築き」「感情移入を形創る」ために、次の項目を策定する。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xml:space="preserve">● ブランド アイデンティティ： </w:t>
      </w:r>
    </w:p>
    <w:p>
      <w:pPr>
        <w:numPr>
          <w:ilvl w:val="0"/>
          <w:numId w:val="0"/>
        </w:numPr>
        <w:ind w:firstLine="840" w:firstLineChars="0"/>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ブランドが創り上げる「より良い社会の姿」 を定義する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ブランド提供価値：</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xml:space="preserve"> </w:t>
      </w:r>
      <w:r>
        <w:rPr>
          <w:rFonts w:hint="eastAsia" w:ascii="ＭＳ Ｐゴシック" w:hAnsi="ＭＳ Ｐゴシック" w:eastAsia="ＭＳ Ｐゴシック" w:cs="ＭＳ Ｐゴシック"/>
          <w:sz w:val="21"/>
          <w:lang w:val="en-US" w:eastAsia="ja-JP"/>
        </w:rPr>
        <w:tab/>
      </w:r>
      <w:r>
        <w:rPr>
          <w:rFonts w:hint="eastAsia" w:ascii="ＭＳ Ｐゴシック" w:hAnsi="ＭＳ Ｐゴシック" w:eastAsia="ＭＳ Ｐゴシック" w:cs="ＭＳ Ｐゴシック"/>
          <w:sz w:val="21"/>
          <w:lang w:val="en-US" w:eastAsia="ja-JP"/>
        </w:rPr>
        <w:t>ブランドが提供する価値（＝喜び）を定義する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xml:space="preserve">● ブランド知覚品質： </w:t>
      </w:r>
    </w:p>
    <w:p>
      <w:pPr>
        <w:numPr>
          <w:ilvl w:val="0"/>
          <w:numId w:val="0"/>
        </w:numPr>
        <w:ind w:firstLine="840" w:firstLineChars="0"/>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認識してもらうべき品質を定義する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xml:space="preserve">● ブランド連想： </w:t>
      </w:r>
    </w:p>
    <w:p>
      <w:pPr>
        <w:numPr>
          <w:ilvl w:val="0"/>
          <w:numId w:val="0"/>
        </w:numPr>
        <w:ind w:firstLine="840" w:firstLineChars="0"/>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ブランドが際立つための連想を定義する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xml:space="preserve">● ブランドパーソナリティ： </w:t>
      </w:r>
    </w:p>
    <w:p>
      <w:pPr>
        <w:numPr>
          <w:ilvl w:val="0"/>
          <w:numId w:val="0"/>
        </w:numPr>
        <w:ind w:firstLine="840" w:firstLineChars="0"/>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ブランドの個性や態度を定義する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b/>
          <w:bCs/>
          <w:sz w:val="21"/>
          <w:lang w:val="en-US" w:eastAsia="ja-JP"/>
        </w:rPr>
        <w:t>ステップ 4：</w:t>
      </w:r>
      <w:r>
        <w:rPr>
          <w:rFonts w:hint="eastAsia" w:ascii="ＭＳ Ｐゴシック" w:hAnsi="ＭＳ Ｐゴシック" w:eastAsia="ＭＳ Ｐゴシック" w:cs="ＭＳ Ｐゴシック"/>
          <w:sz w:val="21"/>
          <w:lang w:val="en-US" w:eastAsia="ja-JP"/>
        </w:rPr>
        <w:t xml:space="preserve"> ブランディングの評価指標を設定する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　「ブランドエクイティ」や「KPIの設定方法・手順」</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b/>
          <w:bCs/>
          <w:sz w:val="21"/>
          <w:lang w:val="en-US" w:eastAsia="ja-JP"/>
        </w:rPr>
        <w:t xml:space="preserve">ステップ 5： </w:t>
      </w:r>
      <w:r>
        <w:rPr>
          <w:rFonts w:hint="eastAsia" w:ascii="ＭＳ Ｐゴシック" w:hAnsi="ＭＳ Ｐゴシック" w:eastAsia="ＭＳ Ｐゴシック" w:cs="ＭＳ Ｐゴシック"/>
          <w:sz w:val="21"/>
          <w:lang w:val="en-US" w:eastAsia="ja-JP"/>
        </w:rPr>
        <w:t>STP 戦略 を 策定 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STP 戦略 とは「生活者を分類し（Ｓ：セグメンテーション）」「その分類の中からターゲットを選択し（Ｔ：ターゲティング）」「そのターゲットにとって独自の役割を築き上げていく（Ｐ：ポジショニング）取り組みを指します。</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顧客目線で策定するために、ターゲティングとポジショニングの間に「ペルソナデザイン」と「インサイト」を 加えることが有効。</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b/>
          <w:bCs/>
          <w:sz w:val="21"/>
          <w:lang w:val="en-US" w:eastAsia="ja-JP"/>
        </w:rPr>
        <w:t>ステップ 6：</w:t>
      </w:r>
      <w:r>
        <w:rPr>
          <w:rFonts w:hint="eastAsia" w:ascii="ＭＳ Ｐゴシック" w:hAnsi="ＭＳ Ｐゴシック" w:eastAsia="ＭＳ Ｐゴシック" w:cs="ＭＳ Ｐゴシック"/>
          <w:sz w:val="21"/>
          <w:lang w:val="en-US" w:eastAsia="ja-JP"/>
        </w:rPr>
        <w:t xml:space="preserve"> ブランドのデザインポリシーを策定する</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生活者の第一印象を創り、トライアル購入に影響を与える非常に重要な要素。</w:t>
      </w:r>
    </w:p>
    <w:p>
      <w:pPr>
        <w:numPr>
          <w:ilvl w:val="0"/>
          <w:numId w:val="0"/>
        </w:numPr>
        <w:rPr>
          <w:rFonts w:hint="eastAsia" w:ascii="ＭＳ Ｐゴシック" w:hAnsi="ＭＳ Ｐゴシック" w:eastAsia="ＭＳ Ｐゴシック" w:cs="ＭＳ Ｐゴシック"/>
          <w:sz w:val="21"/>
          <w:lang w:val="en-US" w:eastAsia="ja-JP"/>
        </w:rPr>
      </w:pPr>
      <w:r>
        <w:rPr>
          <w:rFonts w:hint="eastAsia" w:ascii="ＭＳ Ｐゴシック" w:hAnsi="ＭＳ Ｐゴシック" w:eastAsia="ＭＳ Ｐゴシック" w:cs="ＭＳ Ｐゴシック"/>
          <w:sz w:val="21"/>
          <w:lang w:val="en-US" w:eastAsia="ja-JP"/>
        </w:rPr>
        <w:t>デザインは「パッケージデザイン」「コマーシャル」「グラフィックデザイン」「WEBデザイン」「店頭POPデザイン」などに形を変えて表に出ていく。</w:t>
      </w:r>
    </w:p>
    <w:p>
      <w:pPr>
        <w:rPr>
          <w:rFonts w:ascii="AR P丸ゴシック体M" w:hAnsi="ＭＳ Ｐゴシック" w:eastAsia="AR P丸ゴシック体M"/>
          <w:bCs/>
          <w:sz w:val="22"/>
          <w:highlight w:val="yellow"/>
        </w:rPr>
      </w:pPr>
      <w:r>
        <w:rPr>
          <w:rFonts w:ascii="AR P丸ゴシック体M" w:hAnsi="ＭＳ Ｐゴシック" w:eastAsia="AR P丸ゴシック体M"/>
          <w:bCs/>
          <w:sz w:val="22"/>
          <w:highlight w:val="yellow"/>
        </w:rPr>
        <w:br w:type="page"/>
      </w:r>
    </w:p>
    <w:p>
      <w:pPr>
        <w:rPr>
          <w:rFonts w:hint="eastAsia" w:ascii="ＭＳ Ｐゴシック" w:hAnsi="ＭＳ Ｐゴシック" w:eastAsia="ＭＳ Ｐゴシック" w:cs="ＭＳ Ｐゴシック"/>
          <w:b/>
          <w:bCs w:val="0"/>
          <w:sz w:val="24"/>
          <w:szCs w:val="22"/>
          <w:highlight w:val="none"/>
          <w:u w:val="single"/>
          <w:lang w:val="en-US" w:eastAsia="ja-JP"/>
        </w:rPr>
      </w:pPr>
      <w:r>
        <w:rPr>
          <w:rFonts w:hint="eastAsia" w:ascii="ＭＳ Ｐゴシック" w:hAnsi="ＭＳ Ｐゴシック" w:eastAsia="ＭＳ Ｐゴシック" w:cs="ＭＳ Ｐゴシック"/>
          <w:b/>
          <w:bCs w:val="0"/>
          <w:sz w:val="24"/>
          <w:szCs w:val="22"/>
          <w:highlight w:val="none"/>
          <w:u w:val="single"/>
          <w:lang w:eastAsia="ja-JP"/>
        </w:rPr>
        <w:t>５．</w:t>
      </w:r>
      <w:r>
        <w:rPr>
          <w:rFonts w:hint="eastAsia" w:ascii="ＭＳ Ｐゴシック" w:hAnsi="ＭＳ Ｐゴシック" w:eastAsia="ＭＳ Ｐゴシック" w:cs="ＭＳ Ｐゴシック"/>
          <w:b/>
          <w:bCs w:val="0"/>
          <w:sz w:val="24"/>
          <w:szCs w:val="22"/>
          <w:highlight w:val="none"/>
          <w:u w:val="single"/>
        </w:rPr>
        <w:t>京成本線沿線のまちづくりにおける意見</w:t>
      </w:r>
      <w:r>
        <w:rPr>
          <w:rFonts w:hint="eastAsia" w:ascii="ＭＳ Ｐゴシック" w:hAnsi="ＭＳ Ｐゴシック" w:eastAsia="ＭＳ Ｐゴシック" w:cs="ＭＳ Ｐゴシック"/>
          <w:b/>
          <w:bCs w:val="0"/>
          <w:sz w:val="24"/>
          <w:szCs w:val="22"/>
          <w:highlight w:val="none"/>
          <w:u w:val="single"/>
          <w:lang w:eastAsia="ja-JP"/>
        </w:rPr>
        <w:t>：　</w:t>
      </w:r>
      <w:r>
        <w:rPr>
          <w:rFonts w:hint="eastAsia" w:ascii="ＭＳ Ｐゴシック" w:hAnsi="ＭＳ Ｐゴシック" w:eastAsia="ＭＳ Ｐゴシック" w:cs="ＭＳ Ｐゴシック"/>
          <w:b/>
          <w:bCs w:val="0"/>
          <w:sz w:val="24"/>
          <w:szCs w:val="22"/>
          <w:highlight w:val="none"/>
          <w:u w:val="single"/>
          <w:lang w:val="en-US" w:eastAsia="ja-JP"/>
        </w:rPr>
        <w:t>2024年3月にWebサイトからインプット</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１．==========</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八千代台駅周辺のまちづくりの目的の第一優先は、利用する人が安全で快適に生活できることだが、どのような人が対象となっているのか明示されていない。人を中心に考えることで、何を優先的に解決していけばよいかが明確になる。例えば子育て世代を重視するなら、駅前に保育所を作ったり、休日に子供が遊べるスペースを作るなどの施策に繋げられる。</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また、経済の視点が欠如している。建物を建築するには当然コストがかかるが、それに見合う効果が出なければならない。駅周辺を利用する人が増えれば、商店街の収入が増えるだろうし、結果として市の税収増にもつながる。分析検討する手法は企業も市役所も同じであり、経営とマーケティング戦略を融合させることを提案する。特に、第１段階としてマーケティング戦略は重要。PEST分析、４C、SWOT分析、STPCなどは有効なツールである。例として、明石市、ひたちなか市、流山市などを参考にしてほしい。</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２．==========</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既存住宅地の老朽化やリノベーション、あるいは更地にして新築を建てる際には、災害に耐え、景観と緑を保全すること、そして駅や中心街へ安全にアクセスできることが求められる。未来に渡って多世代が安心して住み続けることが可能な建築のルールを条例で定めることが有効と考える。</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１．景観と緑</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住宅地をリノベーションする、あるいは建て替える時のルールとして景観条例を定める。特に、第一種低層住居専有地域では最小土地面積を規定することで、狭小住宅による住宅地の劣化を防ぐことができる。</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緑の景観を残すためには、庭に樹木を植える、あるいは自宅の庭を家庭菜園として使うことを可能にできるよう、対象部分を農地として規定する。街としての価値を向上させるには、無電柱化を図り、景観だけでなく災害に強い住宅地としてアピールできる。</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２．安心安全なアクセス</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住宅地から駅に向かう通勤通学に使う道路の中でも、特に旧三菱UFJ銀行横の八千代台駅に通じる道路は細くて危険。車、人、自転車が安全に通行できるように長期的な計画を立てて整備すべき。</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３．==========</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八千代台を活性化させるためには、駅から南東に伸びる道路の西側にある老朽化して危険な小さなビルが集まっている商業施設を区画整理し、１階部分は商業施設とし、２階部分には公共施設および図書館、保育園や幼稚園、子供が遊べる空間などを配置し、３階以上を居住できる高層マンションとする。マンションに居住する人口が増えれば、周辺商業施設も活性化し、市税や固定資産税なども増える。現在、スーパーの「おっかさん」裏の空き地も駐車場や公共施設などに活用できるはず。</w:t>
      </w:r>
    </w:p>
    <w:p>
      <w:pPr>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br w:type="page"/>
      </w:r>
    </w:p>
    <w:p>
      <w:pPr>
        <w:keepNext w:val="0"/>
        <w:keepLines w:val="0"/>
        <w:pageBreakBefore w:val="0"/>
        <w:widowControl/>
        <w:kinsoku/>
        <w:wordWrap/>
        <w:overflowPunct/>
        <w:topLinePunct w:val="0"/>
        <w:autoSpaceDE/>
        <w:autoSpaceDN/>
        <w:bidi w:val="0"/>
        <w:adjustRightInd/>
        <w:snapToGrid/>
        <w:spacing w:after="0"/>
        <w:textAlignment w:val="auto"/>
        <w:outlineLvl w:val="9"/>
        <w:rPr>
          <w:rFonts w:hint="eastAsia" w:ascii="ＭＳ Ｐゴシック" w:hAnsi="ＭＳ Ｐゴシック" w:eastAsia="ＭＳ Ｐゴシック" w:cs="ＭＳ Ｐゴシック"/>
          <w:b/>
          <w:bCs w:val="0"/>
          <w:sz w:val="24"/>
          <w:szCs w:val="22"/>
          <w:highlight w:val="none"/>
          <w:u w:val="single"/>
          <w:lang w:val="en-US" w:eastAsia="ja-JP"/>
        </w:rPr>
      </w:pPr>
      <w:r>
        <w:rPr>
          <w:rFonts w:hint="eastAsia" w:ascii="ＭＳ Ｐゴシック" w:hAnsi="ＭＳ Ｐゴシック" w:eastAsia="ＭＳ Ｐゴシック" w:cs="ＭＳ Ｐゴシック"/>
          <w:b/>
          <w:bCs w:val="0"/>
          <w:sz w:val="24"/>
          <w:szCs w:val="22"/>
          <w:highlight w:val="none"/>
          <w:u w:val="single"/>
          <w:lang w:eastAsia="ja-JP"/>
        </w:rPr>
        <w:t>６．</w:t>
      </w:r>
      <w:r>
        <w:rPr>
          <w:rFonts w:hint="eastAsia" w:ascii="ＭＳ Ｐゴシック" w:hAnsi="ＭＳ Ｐゴシック" w:eastAsia="ＭＳ Ｐゴシック" w:cs="ＭＳ Ｐゴシック"/>
          <w:b/>
          <w:bCs w:val="0"/>
          <w:sz w:val="24"/>
          <w:szCs w:val="22"/>
          <w:highlight w:val="none"/>
          <w:u w:val="single"/>
        </w:rPr>
        <w:t>【人口戦略会議・公表資料】『地方自治体「持続可能性」分析レポート』</w:t>
      </w:r>
      <w:r>
        <w:rPr>
          <w:rFonts w:hint="eastAsia" w:ascii="ＭＳ Ｐゴシック" w:hAnsi="ＭＳ Ｐゴシック" w:eastAsia="ＭＳ Ｐゴシック" w:cs="ＭＳ Ｐゴシック"/>
          <w:b/>
          <w:bCs w:val="0"/>
          <w:sz w:val="24"/>
          <w:szCs w:val="22"/>
          <w:highlight w:val="none"/>
          <w:u w:val="single"/>
          <w:lang w:eastAsia="ja-JP"/>
        </w:rPr>
        <w:t>　</w:t>
      </w:r>
      <w:r>
        <w:rPr>
          <w:rFonts w:hint="eastAsia" w:ascii="ＭＳ Ｐゴシック" w:hAnsi="ＭＳ Ｐゴシック" w:eastAsia="ＭＳ Ｐゴシック" w:cs="ＭＳ Ｐゴシック"/>
          <w:b/>
          <w:bCs w:val="0"/>
          <w:sz w:val="24"/>
          <w:szCs w:val="22"/>
          <w:highlight w:val="none"/>
          <w:u w:val="single"/>
          <w:lang w:val="en-US" w:eastAsia="ja-JP"/>
        </w:rPr>
        <w:t>2024年4月公開情報の簡単分析</w:t>
      </w:r>
    </w:p>
    <w:p>
      <w:r>
        <w:drawing>
          <wp:inline distT="0" distB="0" distL="114300" distR="114300">
            <wp:extent cx="4805680" cy="3291205"/>
            <wp:effectExtent l="0" t="0" r="4445" b="4445"/>
            <wp:docPr id="1" name="図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形 1"/>
                    <pic:cNvPicPr>
                      <a:picLocks noChangeAspect="1"/>
                    </pic:cNvPicPr>
                  </pic:nvPicPr>
                  <pic:blipFill>
                    <a:blip r:embed="rId26"/>
                    <a:stretch>
                      <a:fillRect/>
                    </a:stretch>
                  </pic:blipFill>
                  <pic:spPr>
                    <a:xfrm>
                      <a:off x="0" y="0"/>
                      <a:ext cx="4805680" cy="3291205"/>
                    </a:xfrm>
                    <a:prstGeom prst="rect">
                      <a:avLst/>
                    </a:prstGeom>
                    <a:noFill/>
                    <a:ln w="9525">
                      <a:noFill/>
                    </a:ln>
                  </pic:spPr>
                </pic:pic>
              </a:graphicData>
            </a:graphic>
          </wp:inline>
        </w:drawing>
      </w:r>
    </w:p>
    <w:p>
      <w:pPr>
        <w:rPr>
          <w:rFonts w:hint="eastAsia" w:ascii="ＭＳ Ｐゴシック" w:hAnsi="ＭＳ Ｐゴシック" w:eastAsia="ＭＳ Ｐゴシック" w:cs="ＭＳ Ｐゴシック"/>
          <w:b w:val="0"/>
          <w:bCs/>
          <w:sz w:val="24"/>
          <w:szCs w:val="22"/>
          <w:highlight w:val="none"/>
          <w:u w:val="none"/>
          <w:lang w:val="en-US" w:eastAsia="ja-JP"/>
        </w:rPr>
      </w:pPr>
      <w:r>
        <w:rPr>
          <w:sz w:val="21"/>
        </w:rPr>
        <mc:AlternateContent>
          <mc:Choice Requires="wps">
            <w:drawing>
              <wp:anchor distT="0" distB="0" distL="114300" distR="114300" simplePos="0" relativeHeight="251712512" behindDoc="0" locked="0" layoutInCell="1" allowOverlap="1">
                <wp:simplePos x="0" y="0"/>
                <wp:positionH relativeFrom="column">
                  <wp:posOffset>-25400</wp:posOffset>
                </wp:positionH>
                <wp:positionV relativeFrom="paragraph">
                  <wp:posOffset>1068705</wp:posOffset>
                </wp:positionV>
                <wp:extent cx="4705985" cy="210185"/>
                <wp:effectExtent l="13970" t="13970" r="23495" b="23495"/>
                <wp:wrapNone/>
                <wp:docPr id="24" name="四角形 24"/>
                <wp:cNvGraphicFramePr/>
                <a:graphic xmlns:a="http://schemas.openxmlformats.org/drawingml/2006/main">
                  <a:graphicData uri="http://schemas.microsoft.com/office/word/2010/wordprocessingShape">
                    <wps:wsp>
                      <wps:cNvSpPr/>
                      <wps:spPr>
                        <a:xfrm>
                          <a:off x="0" y="0"/>
                          <a:ext cx="4705985" cy="210185"/>
                        </a:xfrm>
                        <a:prstGeom prst="rect">
                          <a:avLst/>
                        </a:prstGeom>
                        <a:noFill/>
                        <a:ln w="28575">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eastAsiaTheme="minorEastAsia"/>
                                <w:lang w:eastAsia="ja-JP"/>
                              </w:rPr>
                            </w:pPr>
                            <w:r>
                              <w:rPr>
                                <w:rFonts w:hint="eastAsia"/>
                                <w:lang w:eastAsia="ja-JP"/>
                              </w:rPr>
                              <w:t>自立</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pt;margin-top:84.15pt;height:16.55pt;width:370.55pt;z-index:251712512;v-text-anchor:middle;mso-width-relative:page;mso-height-relative:page;" filled="f" stroked="t" coordsize="21600,21600" o:gfxdata="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oaWJnaAAAACgEA&#10;AA8AAAAAAAAAAQAgAAAAIgAAAGRycy9kb3ducmV2LnhtbFBLAQIUABQAAAAIAIdO4kDjJOLfUQIA&#10;AHYEAAAOAAAAAAAAAAEAIAAAACkBAABkcnMvZTJvRG9jLnhtbFBLBQYAAAAABgAGAFkBAADsBQAA&#10;AAA=&#10;">
                <v:fill on="f" focussize="0,0"/>
                <v:stroke weight="2.25pt" color="#FFC000 [3204]" joinstyle="round"/>
                <v:imagedata o:title=""/>
                <o:lock v:ext="edit" aspectratio="f"/>
                <v:textbox>
                  <w:txbxContent>
                    <w:p>
                      <w:pPr>
                        <w:jc w:val="center"/>
                        <w:rPr>
                          <w:rFonts w:hint="eastAsia" w:eastAsiaTheme="minorEastAsia"/>
                          <w:lang w:eastAsia="ja-JP"/>
                        </w:rPr>
                      </w:pPr>
                      <w:r>
                        <w:rPr>
                          <w:rFonts w:hint="eastAsia"/>
                          <w:lang w:eastAsia="ja-JP"/>
                        </w:rPr>
                        <w:t>自立</w:t>
                      </w:r>
                    </w:p>
                  </w:txbxContent>
                </v:textbox>
              </v:rect>
            </w:pict>
          </mc:Fallback>
        </mc:AlternateContent>
      </w:r>
      <w:r>
        <w:rPr>
          <w:sz w:val="21"/>
        </w:rPr>
        <mc:AlternateContent>
          <mc:Choice Requires="wps">
            <w:drawing>
              <wp:anchor distT="0" distB="0" distL="114300" distR="114300" simplePos="0" relativeHeight="251694080" behindDoc="0" locked="0" layoutInCell="1" allowOverlap="1">
                <wp:simplePos x="0" y="0"/>
                <wp:positionH relativeFrom="column">
                  <wp:posOffset>-15875</wp:posOffset>
                </wp:positionH>
                <wp:positionV relativeFrom="paragraph">
                  <wp:posOffset>3040380</wp:posOffset>
                </wp:positionV>
                <wp:extent cx="4705985" cy="210185"/>
                <wp:effectExtent l="13970" t="13970" r="23495" b="23495"/>
                <wp:wrapNone/>
                <wp:docPr id="23" name="四角形 23"/>
                <wp:cNvGraphicFramePr/>
                <a:graphic xmlns:a="http://schemas.openxmlformats.org/drawingml/2006/main">
                  <a:graphicData uri="http://schemas.microsoft.com/office/word/2010/wordprocessingShape">
                    <wps:wsp>
                      <wps:cNvSpPr/>
                      <wps:spPr>
                        <a:xfrm>
                          <a:off x="0" y="0"/>
                          <a:ext cx="4705985" cy="21018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5pt;margin-top:239.4pt;height:16.55pt;width:370.55pt;z-index:251694080;v-text-anchor:middle;mso-width-relative:page;mso-height-relative:page;" filled="f" stroked="t" coordsize="21600,21600" o:gfxdata="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udohQ2gAAAAoBAAAPAAAAAAAA&#10;AAEAIAAAACIAAABkcnMvZG93bnJldi54bWxQSwECFAAUAAAACACHTuJAyuEPlUkCAABrBAAADgAA&#10;AAAAAAABACAAAAApAQAAZHJzL2Uyb0RvYy54bWxQSwUGAAAAAAYABgBZAQAA5AUAAAAA&#10;">
                <v:fill on="f" focussize="0,0"/>
                <v:stroke weight="2.25pt" color="#FF0000 [3204]" joinstyle="round"/>
                <v:imagedata o:title=""/>
                <o:lock v:ext="edit" aspectratio="f"/>
              </v:rect>
            </w:pict>
          </mc:Fallback>
        </mc:AlternateContent>
      </w:r>
      <w:r>
        <w:rPr>
          <w:sz w:val="21"/>
        </w:rPr>
        <mc:AlternateContent>
          <mc:Choice Requires="wps">
            <w:drawing>
              <wp:anchor distT="0" distB="0" distL="114300" distR="114300" simplePos="0" relativeHeight="251675648" behindDoc="0" locked="0" layoutInCell="1" allowOverlap="1">
                <wp:simplePos x="0" y="0"/>
                <wp:positionH relativeFrom="column">
                  <wp:posOffset>-25400</wp:posOffset>
                </wp:positionH>
                <wp:positionV relativeFrom="paragraph">
                  <wp:posOffset>849630</wp:posOffset>
                </wp:positionV>
                <wp:extent cx="4705985" cy="210185"/>
                <wp:effectExtent l="13970" t="13970" r="23495" b="23495"/>
                <wp:wrapNone/>
                <wp:docPr id="22" name="四角形 22"/>
                <wp:cNvGraphicFramePr/>
                <a:graphic xmlns:a="http://schemas.openxmlformats.org/drawingml/2006/main">
                  <a:graphicData uri="http://schemas.microsoft.com/office/word/2010/wordprocessingShape">
                    <wps:wsp>
                      <wps:cNvSpPr/>
                      <wps:spPr>
                        <a:xfrm>
                          <a:off x="0" y="0"/>
                          <a:ext cx="4705985" cy="21018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pt;margin-top:66.9pt;height:16.55pt;width:370.55pt;z-index:251675648;v-text-anchor:middle;mso-width-relative:page;mso-height-relative:page;" filled="f" stroked="t" coordsize="21600,21600" o:gfxdata="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pDfZT9gAAAAKAQAADwAAAAAAAAAB&#10;ACAAAAAiAAAAZHJzL2Rvd25yZXYueG1sUEsBAhQAFAAAAAgAh07iQCxZCeRJAgAAawQAAA4AAAAA&#10;AAAAAQAgAAAAJwEAAGRycy9lMm9Eb2MueG1sUEsFBgAAAAAGAAYAWQEAAOIFAAAAAA==&#10;">
                <v:fill on="f" focussize="0,0"/>
                <v:stroke weight="2.25pt" color="#FF0000 [3204]" joinstyle="round"/>
                <v:imagedata o:title=""/>
                <o:lock v:ext="edit" aspectratio="f"/>
              </v:rect>
            </w:pict>
          </mc:Fallback>
        </mc:AlternateContent>
      </w:r>
      <w:r>
        <w:drawing>
          <wp:inline distT="0" distB="0" distL="114300" distR="114300">
            <wp:extent cx="4682490" cy="3482975"/>
            <wp:effectExtent l="0" t="0" r="3810" b="3175"/>
            <wp:docPr id="21" name="図形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図形 21"/>
                    <pic:cNvPicPr>
                      <a:picLocks noChangeAspect="1"/>
                    </pic:cNvPicPr>
                  </pic:nvPicPr>
                  <pic:blipFill>
                    <a:blip r:embed="rId27"/>
                    <a:stretch>
                      <a:fillRect/>
                    </a:stretch>
                  </pic:blipFill>
                  <pic:spPr>
                    <a:xfrm>
                      <a:off x="0" y="0"/>
                      <a:ext cx="4682490" cy="3482975"/>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bCs/>
          <w:sz w:val="22"/>
          <w:highlight w:val="none"/>
        </w:rPr>
      </w:pPr>
      <w:r>
        <w:rPr>
          <w:rFonts w:hint="eastAsia" w:ascii="ＭＳ Ｐゴシック" w:hAnsi="ＭＳ Ｐゴシック" w:eastAsia="ＭＳ Ｐゴシック" w:cs="ＭＳ Ｐゴシック"/>
          <w:bCs/>
          <w:sz w:val="22"/>
          <w:highlight w:val="none"/>
        </w:rPr>
        <w:t>千葉県内で自立持続可能性自治体（A)は流山市と印西市。八千代市は（D-①）「自然減対策が必要」。流山市と印西市は、首都圏では共に子育てしやすい自治体として上位を占める。</w:t>
      </w:r>
    </w:p>
    <w:p>
      <w:pPr>
        <w:keepNext w:val="0"/>
        <w:keepLines w:val="0"/>
        <w:pageBreakBefore w:val="0"/>
        <w:widowControl/>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sz w:val="22"/>
          <w:szCs w:val="22"/>
          <w:lang w:val="en-US" w:eastAsia="ja-JP"/>
        </w:rPr>
      </w:pPr>
      <w:r>
        <w:rPr>
          <w:rFonts w:hint="eastAsia" w:ascii="ＭＳ Ｐゴシック" w:hAnsi="ＭＳ Ｐゴシック" w:eastAsia="ＭＳ Ｐゴシック" w:cs="ＭＳ Ｐゴシック"/>
          <w:sz w:val="22"/>
          <w:szCs w:val="22"/>
          <w:lang w:val="en-US" w:eastAsia="ja-JP"/>
        </w:rPr>
        <w:br w:type="page"/>
      </w:r>
    </w:p>
    <w:p>
      <w:pPr>
        <w:keepNext w:val="0"/>
        <w:keepLines w:val="0"/>
        <w:pageBreakBefore w:val="0"/>
        <w:widowControl/>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sz w:val="22"/>
          <w:szCs w:val="22"/>
          <w:lang w:val="en-US" w:eastAsia="ja-JP"/>
        </w:rPr>
      </w:pPr>
      <w:r>
        <w:rPr>
          <w:rFonts w:hint="eastAsia" w:ascii="ＭＳ Ｐゴシック" w:hAnsi="ＭＳ Ｐゴシック" w:eastAsia="ＭＳ Ｐゴシック" w:cs="ＭＳ Ｐゴシック"/>
          <w:sz w:val="22"/>
          <w:szCs w:val="22"/>
          <w:lang w:val="en-US" w:eastAsia="ja-JP"/>
        </w:rPr>
        <w:t>ブラックホール型自治体（B-①②）は以下からわかるように、大都市圏、特に東京都区部。少子高齢化の元凶となっている。東京一極集中を減少させる政策が必須。</w:t>
      </w:r>
    </w:p>
    <w:p>
      <w:pPr>
        <w:keepNext w:val="0"/>
        <w:keepLines w:val="0"/>
        <w:pageBreakBefore w:val="0"/>
        <w:widowControl/>
        <w:kinsoku/>
        <w:wordWrap/>
        <w:overflowPunct/>
        <w:topLinePunct w:val="0"/>
        <w:autoSpaceDE/>
        <w:autoSpaceDN/>
        <w:bidi w:val="0"/>
        <w:adjustRightInd/>
        <w:snapToGrid/>
        <w:textAlignment w:val="auto"/>
        <w:rPr>
          <w:rFonts w:hint="eastAsia" w:ascii="ＭＳ Ｐゴシック" w:hAnsi="ＭＳ Ｐゴシック" w:eastAsia="ＭＳ Ｐゴシック" w:cs="ＭＳ Ｐゴシック"/>
          <w:sz w:val="22"/>
          <w:szCs w:val="22"/>
          <w:lang w:val="en-US" w:eastAsia="ja-JP"/>
        </w:rPr>
      </w:pPr>
      <w:r>
        <w:rPr>
          <w:sz w:val="21"/>
        </w:rPr>
        <mc:AlternateContent>
          <mc:Choice Requires="wps">
            <w:drawing>
              <wp:anchor distT="0" distB="0" distL="114300" distR="114300" simplePos="0" relativeHeight="251749376" behindDoc="0" locked="0" layoutInCell="1" allowOverlap="1">
                <wp:simplePos x="0" y="0"/>
                <wp:positionH relativeFrom="column">
                  <wp:posOffset>-6350</wp:posOffset>
                </wp:positionH>
                <wp:positionV relativeFrom="paragraph">
                  <wp:posOffset>1014095</wp:posOffset>
                </wp:positionV>
                <wp:extent cx="5953760" cy="2543810"/>
                <wp:effectExtent l="13970" t="13970" r="23495" b="23495"/>
                <wp:wrapNone/>
                <wp:docPr id="27" name="四角形 27"/>
                <wp:cNvGraphicFramePr/>
                <a:graphic xmlns:a="http://schemas.openxmlformats.org/drawingml/2006/main">
                  <a:graphicData uri="http://schemas.microsoft.com/office/word/2010/wordprocessingShape">
                    <wps:wsp>
                      <wps:cNvSpPr/>
                      <wps:spPr>
                        <a:xfrm>
                          <a:off x="0" y="0"/>
                          <a:ext cx="5953760" cy="2543810"/>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5pt;margin-top:79.85pt;height:200.3pt;width:468.8pt;z-index:251749376;v-text-anchor:middle;mso-width-relative:page;mso-height-relative:page;" filled="f" stroked="t" coordsize="21600,21600" o:gfxdata="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ngESjZAAAACgEAAA8AAAAA&#10;AAAAAQAgAAAAIgAAAGRycy9kb3ducmV2LnhtbFBLAQIUABQAAAAIAIdO4kBRhcHdTAIAAGwEAAAO&#10;AAAAAAAAAAEAIAAAACgBAABkcnMvZTJvRG9jLnhtbFBLBQYAAAAABgAGAFkBAADmBQAAAAA=&#10;">
                <v:fill on="f" focussize="0,0"/>
                <v:stroke weight="2.25pt" color="#FF0000 [3204]" joinstyle="round"/>
                <v:imagedata o:title=""/>
                <o:lock v:ext="edit" aspectratio="f"/>
              </v:rect>
            </w:pict>
          </mc:Fallback>
        </mc:AlternateContent>
      </w:r>
      <w:r>
        <w:drawing>
          <wp:inline distT="0" distB="0" distL="114300" distR="114300">
            <wp:extent cx="5937250" cy="4000500"/>
            <wp:effectExtent l="0" t="0" r="6350" b="0"/>
            <wp:docPr id="28" name="図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図形 3"/>
                    <pic:cNvPicPr>
                      <a:picLocks noChangeAspect="1"/>
                    </pic:cNvPicPr>
                  </pic:nvPicPr>
                  <pic:blipFill>
                    <a:blip r:embed="rId28"/>
                    <a:stretch>
                      <a:fillRect/>
                    </a:stretch>
                  </pic:blipFill>
                  <pic:spPr>
                    <a:xfrm>
                      <a:off x="0" y="0"/>
                      <a:ext cx="5937250" cy="4000500"/>
                    </a:xfrm>
                    <a:prstGeom prst="rect">
                      <a:avLst/>
                    </a:prstGeom>
                    <a:noFill/>
                    <a:ln w="9525">
                      <a:noFill/>
                    </a:ln>
                  </pic:spPr>
                </pic:pic>
              </a:graphicData>
            </a:graphic>
          </wp:inline>
        </w:drawing>
      </w:r>
    </w:p>
    <w:p>
      <w:r>
        <w:drawing>
          <wp:inline distT="0" distB="0" distL="114300" distR="114300">
            <wp:extent cx="5938520" cy="6629400"/>
            <wp:effectExtent l="0" t="0" r="5080" b="0"/>
            <wp:docPr id="25" name="図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形 1"/>
                    <pic:cNvPicPr>
                      <a:picLocks noChangeAspect="1"/>
                    </pic:cNvPicPr>
                  </pic:nvPicPr>
                  <pic:blipFill>
                    <a:blip r:embed="rId29"/>
                    <a:stretch>
                      <a:fillRect/>
                    </a:stretch>
                  </pic:blipFill>
                  <pic:spPr>
                    <a:xfrm>
                      <a:off x="0" y="0"/>
                      <a:ext cx="5938520" cy="6629400"/>
                    </a:xfrm>
                    <a:prstGeom prst="rect">
                      <a:avLst/>
                    </a:prstGeom>
                    <a:noFill/>
                    <a:ln w="9525">
                      <a:noFill/>
                    </a:ln>
                  </pic:spPr>
                </pic:pic>
              </a:graphicData>
            </a:graphic>
          </wp:inline>
        </w:drawing>
      </w:r>
    </w:p>
    <w:p>
      <w:pPr>
        <w:keepNext w:val="0"/>
        <w:keepLines w:val="0"/>
        <w:pageBreakBefore w:val="0"/>
        <w:widowControl/>
        <w:kinsoku/>
        <w:wordWrap/>
        <w:overflowPunct/>
        <w:topLinePunct w:val="0"/>
        <w:autoSpaceDE/>
        <w:autoSpaceDN/>
        <w:bidi w:val="0"/>
        <w:adjustRightInd/>
        <w:snapToGrid/>
        <w:textAlignment w:val="auto"/>
      </w:pPr>
    </w:p>
    <w:p>
      <w:pPr>
        <w:keepNext w:val="0"/>
        <w:keepLines w:val="0"/>
        <w:pageBreakBefore w:val="0"/>
        <w:widowControl/>
        <w:kinsoku/>
        <w:wordWrap/>
        <w:overflowPunct/>
        <w:topLinePunct w:val="0"/>
        <w:autoSpaceDE/>
        <w:autoSpaceDN/>
        <w:bidi w:val="0"/>
        <w:adjustRightInd/>
        <w:snapToGrid/>
        <w:textAlignment w:val="auto"/>
      </w:pPr>
      <w:r>
        <w:rPr>
          <w:rFonts w:hint="eastAsia" w:ascii="ＭＳ Ｐゴシック" w:hAnsi="ＭＳ Ｐゴシック" w:eastAsia="ＭＳ Ｐゴシック" w:cs="ＭＳ Ｐゴシック"/>
          <w:sz w:val="22"/>
          <w:szCs w:val="22"/>
          <w:lang w:val="en-US" w:eastAsia="ja-JP"/>
        </w:rPr>
        <w:t>なお、八千代市は32位でした。</w:t>
      </w:r>
    </w:p>
    <w:sectPr>
      <w:footerReference r:id="rId3" w:type="default"/>
      <w:pgSz w:w="11906" w:h="16838"/>
      <w:pgMar w:top="709" w:right="992" w:bottom="851" w:left="1559" w:header="856" w:footer="136" w:gutter="0"/>
      <w:pgNumType w:start="0" w:chapStyle="1"/>
      <w:cols w:space="425" w:num="1"/>
      <w:titlePg/>
      <w:docGrid w:type="linesAndChars" w:linePitch="292"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altName w:val="Times New Roman"/>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auto"/>
    <w:pitch w:val="default"/>
    <w:sig w:usb0="E4002EFF" w:usb1="C000247B" w:usb2="00000009" w:usb3="00000000" w:csb0="200001FF" w:csb1="00000000"/>
  </w:font>
  <w:font w:name="ＭＳ Ｐゴシック">
    <w:panose1 w:val="020B0600070205080204"/>
    <w:charset w:val="80"/>
    <w:family w:val="modern"/>
    <w:pitch w:val="default"/>
    <w:sig w:usb0="E00002FF" w:usb1="6AC7FDFB" w:usb2="08000012" w:usb3="00000000" w:csb0="4002009F" w:csb1="DFD70000"/>
  </w:font>
  <w:font w:name="AR P丸ゴシック体M">
    <w:altName w:val="游ゴシック"/>
    <w:panose1 w:val="00000000000000000000"/>
    <w:charset w:val="80"/>
    <w:family w:val="modern"/>
    <w:pitch w:val="default"/>
    <w:sig w:usb0="00000000" w:usb1="00000000" w:usb2="00000010" w:usb3="00000000" w:csb0="00020000" w:csb1="00000000"/>
  </w:font>
  <w:font w:name="游ゴシック">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4157127"/>
      <w:docPartObj>
        <w:docPartGallery w:val="autotext"/>
      </w:docPartObj>
    </w:sdtPr>
    <w:sdtContent>
      <w:p>
        <w:pPr>
          <w:pStyle w:val="15"/>
          <w:jc w:val="center"/>
        </w:pPr>
        <w:r>
          <w:fldChar w:fldCharType="begin"/>
        </w:r>
        <w:r>
          <w:instrText xml:space="preserve">PAGE   \* MERGEFORMAT</w:instrText>
        </w:r>
        <w:r>
          <w:fldChar w:fldCharType="separate"/>
        </w:r>
        <w:r>
          <w:rPr>
            <w:lang w:val="ja-JP"/>
          </w:rPr>
          <w:t>2</w:t>
        </w:r>
        <w:r>
          <w:fldChar w:fldCharType="end"/>
        </w:r>
      </w:p>
    </w:sdtContent>
  </w:sdt>
  <w:p>
    <w:pPr>
      <w:pStyle w:val="15"/>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B3BD63"/>
    <w:multiLevelType w:val="singleLevel"/>
    <w:tmpl w:val="8BB3BD63"/>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1">
    <w:nsid w:val="C2CC8D6F"/>
    <w:multiLevelType w:val="singleLevel"/>
    <w:tmpl w:val="C2CC8D6F"/>
    <w:lvl w:ilvl="0" w:tentative="0">
      <w:start w:val="1"/>
      <w:numFmt w:val="decimalFullWidth"/>
      <w:suff w:val="nothing"/>
      <w:lvlText w:val="%1．"/>
      <w:lvlJc w:val="left"/>
      <w:rPr>
        <w:rFonts w:hint="eastAsia"/>
      </w:rPr>
    </w:lvl>
  </w:abstractNum>
  <w:abstractNum w:abstractNumId="2">
    <w:nsid w:val="EB08F7F1"/>
    <w:multiLevelType w:val="multilevel"/>
    <w:tmpl w:val="EB08F7F1"/>
    <w:lvl w:ilvl="0" w:tentative="0">
      <w:start w:val="1"/>
      <w:numFmt w:val="decimalFullWidth"/>
      <w:suff w:val="nothing"/>
      <w:lvlText w:val="%1．"/>
      <w:lvlJc w:val="left"/>
      <w:rPr>
        <w:rFonts w:hint="default"/>
        <w:u w:val="none" w:color="auto"/>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3">
    <w:nsid w:val="2D2EF416"/>
    <w:multiLevelType w:val="singleLevel"/>
    <w:tmpl w:val="2D2EF416"/>
    <w:lvl w:ilvl="0" w:tentative="0">
      <w:start w:val="1"/>
      <w:numFmt w:val="decimalFullWidth"/>
      <w:suff w:val="nothing"/>
      <w:lvlText w:val="（%1）"/>
      <w:lvlJc w:val="left"/>
      <w:pPr>
        <w:ind w:left="1001" w:leftChars="0" w:firstLine="0" w:firstLineChars="0"/>
      </w:pPr>
      <w:rPr>
        <w:rFonts w:hint="eastAsia"/>
      </w:rPr>
    </w:lvl>
  </w:abstractNum>
  <w:abstractNum w:abstractNumId="4">
    <w:nsid w:val="2E184A57"/>
    <w:multiLevelType w:val="singleLevel"/>
    <w:tmpl w:val="2E184A57"/>
    <w:lvl w:ilvl="0" w:tentative="0">
      <w:start w:val="1"/>
      <w:numFmt w:val="decimalFullWidth"/>
      <w:suff w:val="nothing"/>
      <w:lvlText w:val="%1．"/>
      <w:lvlJc w:val="left"/>
      <w:pPr>
        <w:ind w:left="147" w:leftChars="0" w:firstLine="0" w:firstLineChars="0"/>
      </w:pPr>
      <w:rPr>
        <w:rFonts w:hint="eastAsia"/>
      </w:rPr>
    </w:lvl>
  </w:abstractNum>
  <w:abstractNum w:abstractNumId="5">
    <w:nsid w:val="523C919E"/>
    <w:multiLevelType w:val="singleLevel"/>
    <w:tmpl w:val="523C919E"/>
    <w:lvl w:ilvl="0" w:tentative="0">
      <w:start w:val="1"/>
      <w:numFmt w:val="decimalFullWidth"/>
      <w:suff w:val="nothing"/>
      <w:lvlText w:val="（%1）"/>
      <w:lvlJc w:val="left"/>
      <w:pPr>
        <w:ind w:left="220" w:leftChars="0" w:firstLine="0" w:firstLineChars="0"/>
      </w:pPr>
      <w:rPr>
        <w:rFonts w:hint="eastAsia"/>
      </w:rPr>
    </w:lvl>
  </w:abstractNum>
  <w:abstractNum w:abstractNumId="6">
    <w:nsid w:val="541D14FA"/>
    <w:multiLevelType w:val="singleLevel"/>
    <w:tmpl w:val="541D14FA"/>
    <w:lvl w:ilvl="0" w:tentative="0">
      <w:start w:val="1"/>
      <w:numFmt w:val="decimalFullWidth"/>
      <w:suff w:val="nothing"/>
      <w:lvlText w:val="（%1）　"/>
      <w:lvlJc w:val="left"/>
      <w:rPr>
        <w:rFonts w:hint="eastAsia"/>
      </w:rPr>
    </w:lvl>
  </w:abstractNum>
  <w:abstractNum w:abstractNumId="7">
    <w:nsid w:val="79253AFC"/>
    <w:multiLevelType w:val="singleLevel"/>
    <w:tmpl w:val="79253AFC"/>
    <w:lvl w:ilvl="0" w:tentative="0">
      <w:start w:val="1"/>
      <w:numFmt w:val="decimal"/>
      <w:suff w:val="space"/>
      <w:lvlText w:val="%1."/>
      <w:lvlJc w:val="left"/>
    </w:lvl>
  </w:abstractNum>
  <w:num w:numId="1">
    <w:abstractNumId w:val="1"/>
  </w:num>
  <w:num w:numId="2">
    <w:abstractNumId w:val="3"/>
  </w:num>
  <w:num w:numId="3">
    <w:abstractNumId w:val="5"/>
  </w:num>
  <w:num w:numId="4">
    <w:abstractNumId w:val="4"/>
  </w:num>
  <w:num w:numId="5">
    <w:abstractNumId w:val="6"/>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840"/>
  <w:drawingGridHorizontalSpacing w:val="106"/>
  <w:drawingGridVerticalSpacing w:val="14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72B"/>
    <w:rsid w:val="000025A9"/>
    <w:rsid w:val="0000307E"/>
    <w:rsid w:val="0000484A"/>
    <w:rsid w:val="00005563"/>
    <w:rsid w:val="00005E3B"/>
    <w:rsid w:val="00021AC3"/>
    <w:rsid w:val="00022A96"/>
    <w:rsid w:val="00024115"/>
    <w:rsid w:val="000256EB"/>
    <w:rsid w:val="00031D37"/>
    <w:rsid w:val="000403E4"/>
    <w:rsid w:val="00047E91"/>
    <w:rsid w:val="00055302"/>
    <w:rsid w:val="00056169"/>
    <w:rsid w:val="000577AD"/>
    <w:rsid w:val="000636CC"/>
    <w:rsid w:val="00064D04"/>
    <w:rsid w:val="000658E3"/>
    <w:rsid w:val="000678B0"/>
    <w:rsid w:val="0007032F"/>
    <w:rsid w:val="0007180D"/>
    <w:rsid w:val="00071FD4"/>
    <w:rsid w:val="00072E3B"/>
    <w:rsid w:val="000743CF"/>
    <w:rsid w:val="0007619E"/>
    <w:rsid w:val="00081846"/>
    <w:rsid w:val="00083313"/>
    <w:rsid w:val="00083773"/>
    <w:rsid w:val="00083E14"/>
    <w:rsid w:val="000848BF"/>
    <w:rsid w:val="000913F1"/>
    <w:rsid w:val="00095E21"/>
    <w:rsid w:val="00097394"/>
    <w:rsid w:val="000A265D"/>
    <w:rsid w:val="000A4AF6"/>
    <w:rsid w:val="000B5DFE"/>
    <w:rsid w:val="000C2405"/>
    <w:rsid w:val="000C657B"/>
    <w:rsid w:val="000C7D2B"/>
    <w:rsid w:val="000D0505"/>
    <w:rsid w:val="000D3C90"/>
    <w:rsid w:val="000D45AE"/>
    <w:rsid w:val="000D5664"/>
    <w:rsid w:val="000D7661"/>
    <w:rsid w:val="000E1DC0"/>
    <w:rsid w:val="000F265E"/>
    <w:rsid w:val="000F662B"/>
    <w:rsid w:val="000F6726"/>
    <w:rsid w:val="0010355E"/>
    <w:rsid w:val="00107044"/>
    <w:rsid w:val="001125DF"/>
    <w:rsid w:val="00126CD5"/>
    <w:rsid w:val="00126E29"/>
    <w:rsid w:val="001312EC"/>
    <w:rsid w:val="00133793"/>
    <w:rsid w:val="00133CCA"/>
    <w:rsid w:val="001415D1"/>
    <w:rsid w:val="00142B3E"/>
    <w:rsid w:val="00144C44"/>
    <w:rsid w:val="00146C7D"/>
    <w:rsid w:val="00156CEF"/>
    <w:rsid w:val="001615FD"/>
    <w:rsid w:val="00167E09"/>
    <w:rsid w:val="00170272"/>
    <w:rsid w:val="001728D8"/>
    <w:rsid w:val="00175AB4"/>
    <w:rsid w:val="00177A83"/>
    <w:rsid w:val="00177E79"/>
    <w:rsid w:val="00177F93"/>
    <w:rsid w:val="00183197"/>
    <w:rsid w:val="00185437"/>
    <w:rsid w:val="0019346F"/>
    <w:rsid w:val="00193DE9"/>
    <w:rsid w:val="001962FE"/>
    <w:rsid w:val="001A055D"/>
    <w:rsid w:val="001A1AAA"/>
    <w:rsid w:val="001A429C"/>
    <w:rsid w:val="001A5882"/>
    <w:rsid w:val="001A7F8E"/>
    <w:rsid w:val="001B0AF4"/>
    <w:rsid w:val="001B565B"/>
    <w:rsid w:val="001C0F19"/>
    <w:rsid w:val="001C1444"/>
    <w:rsid w:val="001C337D"/>
    <w:rsid w:val="001C5CAA"/>
    <w:rsid w:val="001D1047"/>
    <w:rsid w:val="001D51C1"/>
    <w:rsid w:val="001D5E79"/>
    <w:rsid w:val="001D613A"/>
    <w:rsid w:val="001E0068"/>
    <w:rsid w:val="001E1538"/>
    <w:rsid w:val="001E45DA"/>
    <w:rsid w:val="001E51F2"/>
    <w:rsid w:val="001E62BC"/>
    <w:rsid w:val="001E630A"/>
    <w:rsid w:val="001E7203"/>
    <w:rsid w:val="001F0224"/>
    <w:rsid w:val="00201271"/>
    <w:rsid w:val="002014D9"/>
    <w:rsid w:val="00207B15"/>
    <w:rsid w:val="002204DA"/>
    <w:rsid w:val="0022349D"/>
    <w:rsid w:val="00225379"/>
    <w:rsid w:val="00227B6F"/>
    <w:rsid w:val="002359CB"/>
    <w:rsid w:val="00240FCC"/>
    <w:rsid w:val="00242802"/>
    <w:rsid w:val="0024428C"/>
    <w:rsid w:val="002444F8"/>
    <w:rsid w:val="0024712F"/>
    <w:rsid w:val="00250401"/>
    <w:rsid w:val="002615AA"/>
    <w:rsid w:val="00261685"/>
    <w:rsid w:val="00261F8E"/>
    <w:rsid w:val="0026505C"/>
    <w:rsid w:val="0026630A"/>
    <w:rsid w:val="002706EB"/>
    <w:rsid w:val="00272E2E"/>
    <w:rsid w:val="00273A65"/>
    <w:rsid w:val="0027533C"/>
    <w:rsid w:val="00277B55"/>
    <w:rsid w:val="002807AA"/>
    <w:rsid w:val="002813F2"/>
    <w:rsid w:val="00281A7A"/>
    <w:rsid w:val="00282599"/>
    <w:rsid w:val="00282735"/>
    <w:rsid w:val="002852D7"/>
    <w:rsid w:val="002919DE"/>
    <w:rsid w:val="00294806"/>
    <w:rsid w:val="00295F09"/>
    <w:rsid w:val="00296F91"/>
    <w:rsid w:val="002A127D"/>
    <w:rsid w:val="002A2470"/>
    <w:rsid w:val="002A484F"/>
    <w:rsid w:val="002A4D5B"/>
    <w:rsid w:val="002A5362"/>
    <w:rsid w:val="002A5B96"/>
    <w:rsid w:val="002B1621"/>
    <w:rsid w:val="002B4339"/>
    <w:rsid w:val="002B5A13"/>
    <w:rsid w:val="002C2AE1"/>
    <w:rsid w:val="002C54AC"/>
    <w:rsid w:val="002C7597"/>
    <w:rsid w:val="002D1C2D"/>
    <w:rsid w:val="002D2326"/>
    <w:rsid w:val="002D4CA9"/>
    <w:rsid w:val="002D5180"/>
    <w:rsid w:val="002D6D4B"/>
    <w:rsid w:val="002F28C7"/>
    <w:rsid w:val="002F598E"/>
    <w:rsid w:val="002F61F1"/>
    <w:rsid w:val="003073FA"/>
    <w:rsid w:val="00307F0F"/>
    <w:rsid w:val="003108F7"/>
    <w:rsid w:val="00316462"/>
    <w:rsid w:val="00330253"/>
    <w:rsid w:val="0033058E"/>
    <w:rsid w:val="003316FF"/>
    <w:rsid w:val="0033274C"/>
    <w:rsid w:val="003334D5"/>
    <w:rsid w:val="003367F4"/>
    <w:rsid w:val="00337DBD"/>
    <w:rsid w:val="003400CA"/>
    <w:rsid w:val="00346AC4"/>
    <w:rsid w:val="00347EBE"/>
    <w:rsid w:val="0035180D"/>
    <w:rsid w:val="003525A2"/>
    <w:rsid w:val="0035358A"/>
    <w:rsid w:val="00354746"/>
    <w:rsid w:val="0035622C"/>
    <w:rsid w:val="003572D5"/>
    <w:rsid w:val="003577B8"/>
    <w:rsid w:val="0036352E"/>
    <w:rsid w:val="003656B4"/>
    <w:rsid w:val="0036666E"/>
    <w:rsid w:val="0036796C"/>
    <w:rsid w:val="003700A9"/>
    <w:rsid w:val="00372AB0"/>
    <w:rsid w:val="00377E4F"/>
    <w:rsid w:val="00380A3F"/>
    <w:rsid w:val="00380DB2"/>
    <w:rsid w:val="0038173C"/>
    <w:rsid w:val="00384BDA"/>
    <w:rsid w:val="00385673"/>
    <w:rsid w:val="00385EBF"/>
    <w:rsid w:val="00390CCC"/>
    <w:rsid w:val="003927A6"/>
    <w:rsid w:val="00393054"/>
    <w:rsid w:val="00395163"/>
    <w:rsid w:val="003A4A0E"/>
    <w:rsid w:val="003A5085"/>
    <w:rsid w:val="003A6A98"/>
    <w:rsid w:val="003A6CAD"/>
    <w:rsid w:val="003A7F80"/>
    <w:rsid w:val="003B7711"/>
    <w:rsid w:val="003B7B16"/>
    <w:rsid w:val="003C069C"/>
    <w:rsid w:val="003C0BE3"/>
    <w:rsid w:val="003C3393"/>
    <w:rsid w:val="003C4001"/>
    <w:rsid w:val="003C42AB"/>
    <w:rsid w:val="003D267F"/>
    <w:rsid w:val="003D4942"/>
    <w:rsid w:val="003D7292"/>
    <w:rsid w:val="003E0E65"/>
    <w:rsid w:val="003E46DF"/>
    <w:rsid w:val="003E4804"/>
    <w:rsid w:val="003E6183"/>
    <w:rsid w:val="003F1483"/>
    <w:rsid w:val="003F2679"/>
    <w:rsid w:val="003F698D"/>
    <w:rsid w:val="00400EC8"/>
    <w:rsid w:val="00403DEB"/>
    <w:rsid w:val="004064E4"/>
    <w:rsid w:val="00412B40"/>
    <w:rsid w:val="00420816"/>
    <w:rsid w:val="00420D36"/>
    <w:rsid w:val="004217A6"/>
    <w:rsid w:val="00422EDC"/>
    <w:rsid w:val="00427753"/>
    <w:rsid w:val="0043357E"/>
    <w:rsid w:val="00435FA7"/>
    <w:rsid w:val="004426A5"/>
    <w:rsid w:val="00442C36"/>
    <w:rsid w:val="0044342E"/>
    <w:rsid w:val="00452E33"/>
    <w:rsid w:val="00454E66"/>
    <w:rsid w:val="00455CB3"/>
    <w:rsid w:val="004573BA"/>
    <w:rsid w:val="00457B69"/>
    <w:rsid w:val="00460F5F"/>
    <w:rsid w:val="00462934"/>
    <w:rsid w:val="004669A2"/>
    <w:rsid w:val="00466F31"/>
    <w:rsid w:val="0046756C"/>
    <w:rsid w:val="004721A7"/>
    <w:rsid w:val="004746D5"/>
    <w:rsid w:val="00481448"/>
    <w:rsid w:val="00481C80"/>
    <w:rsid w:val="00481CF0"/>
    <w:rsid w:val="0048317B"/>
    <w:rsid w:val="00483A01"/>
    <w:rsid w:val="00492D37"/>
    <w:rsid w:val="00493D66"/>
    <w:rsid w:val="004972AE"/>
    <w:rsid w:val="00497C18"/>
    <w:rsid w:val="004A6057"/>
    <w:rsid w:val="004A617B"/>
    <w:rsid w:val="004A6247"/>
    <w:rsid w:val="004B0A5E"/>
    <w:rsid w:val="004B22BF"/>
    <w:rsid w:val="004B2FDF"/>
    <w:rsid w:val="004B367E"/>
    <w:rsid w:val="004B5288"/>
    <w:rsid w:val="004B6891"/>
    <w:rsid w:val="004C2001"/>
    <w:rsid w:val="004C2CC3"/>
    <w:rsid w:val="004D1E72"/>
    <w:rsid w:val="004D2C20"/>
    <w:rsid w:val="004D557C"/>
    <w:rsid w:val="004D5648"/>
    <w:rsid w:val="004D7562"/>
    <w:rsid w:val="004E129E"/>
    <w:rsid w:val="004E2434"/>
    <w:rsid w:val="004E3E78"/>
    <w:rsid w:val="004E4C9D"/>
    <w:rsid w:val="004E6E4F"/>
    <w:rsid w:val="004E78B2"/>
    <w:rsid w:val="004F00A2"/>
    <w:rsid w:val="004F1BA0"/>
    <w:rsid w:val="004F3945"/>
    <w:rsid w:val="004F6E8F"/>
    <w:rsid w:val="00504DFB"/>
    <w:rsid w:val="00507B2E"/>
    <w:rsid w:val="00513883"/>
    <w:rsid w:val="00515B72"/>
    <w:rsid w:val="00517BAE"/>
    <w:rsid w:val="0052101C"/>
    <w:rsid w:val="00525843"/>
    <w:rsid w:val="0053372E"/>
    <w:rsid w:val="00534260"/>
    <w:rsid w:val="005342F4"/>
    <w:rsid w:val="005350E8"/>
    <w:rsid w:val="00537187"/>
    <w:rsid w:val="005425A7"/>
    <w:rsid w:val="0054314C"/>
    <w:rsid w:val="00552B03"/>
    <w:rsid w:val="00553F24"/>
    <w:rsid w:val="00556702"/>
    <w:rsid w:val="005570DD"/>
    <w:rsid w:val="0056121A"/>
    <w:rsid w:val="0056239E"/>
    <w:rsid w:val="00562E2C"/>
    <w:rsid w:val="00563D05"/>
    <w:rsid w:val="00565C64"/>
    <w:rsid w:val="005710FC"/>
    <w:rsid w:val="00572B2F"/>
    <w:rsid w:val="00574335"/>
    <w:rsid w:val="005753FF"/>
    <w:rsid w:val="0058005D"/>
    <w:rsid w:val="00582C02"/>
    <w:rsid w:val="005841A7"/>
    <w:rsid w:val="005919B0"/>
    <w:rsid w:val="00594DAC"/>
    <w:rsid w:val="00597FFB"/>
    <w:rsid w:val="005A1E5C"/>
    <w:rsid w:val="005A2AF3"/>
    <w:rsid w:val="005A7430"/>
    <w:rsid w:val="005B0F83"/>
    <w:rsid w:val="005B234F"/>
    <w:rsid w:val="005B449B"/>
    <w:rsid w:val="005B7F27"/>
    <w:rsid w:val="005C0BB3"/>
    <w:rsid w:val="005C108B"/>
    <w:rsid w:val="005C3AF4"/>
    <w:rsid w:val="005C6A39"/>
    <w:rsid w:val="005D0362"/>
    <w:rsid w:val="005D073F"/>
    <w:rsid w:val="005D2840"/>
    <w:rsid w:val="005D4135"/>
    <w:rsid w:val="005D59B0"/>
    <w:rsid w:val="005E0609"/>
    <w:rsid w:val="005E1A3B"/>
    <w:rsid w:val="005E535E"/>
    <w:rsid w:val="005E59AB"/>
    <w:rsid w:val="005F2224"/>
    <w:rsid w:val="005F3D0A"/>
    <w:rsid w:val="005F43FC"/>
    <w:rsid w:val="005F449B"/>
    <w:rsid w:val="005F5A50"/>
    <w:rsid w:val="005F6453"/>
    <w:rsid w:val="00604A16"/>
    <w:rsid w:val="006058C9"/>
    <w:rsid w:val="00615508"/>
    <w:rsid w:val="00620865"/>
    <w:rsid w:val="00621E36"/>
    <w:rsid w:val="006226B2"/>
    <w:rsid w:val="0062454C"/>
    <w:rsid w:val="00625BBB"/>
    <w:rsid w:val="00627822"/>
    <w:rsid w:val="00633040"/>
    <w:rsid w:val="00634ECF"/>
    <w:rsid w:val="00637922"/>
    <w:rsid w:val="00637DBE"/>
    <w:rsid w:val="00637F3C"/>
    <w:rsid w:val="0064011C"/>
    <w:rsid w:val="00641DED"/>
    <w:rsid w:val="006430C2"/>
    <w:rsid w:val="006449B3"/>
    <w:rsid w:val="0065148D"/>
    <w:rsid w:val="0065199E"/>
    <w:rsid w:val="00652D51"/>
    <w:rsid w:val="00654E08"/>
    <w:rsid w:val="006575A1"/>
    <w:rsid w:val="00660FC5"/>
    <w:rsid w:val="00661592"/>
    <w:rsid w:val="006701D1"/>
    <w:rsid w:val="00675308"/>
    <w:rsid w:val="006762E9"/>
    <w:rsid w:val="00682D42"/>
    <w:rsid w:val="00684C7B"/>
    <w:rsid w:val="00685315"/>
    <w:rsid w:val="006878B0"/>
    <w:rsid w:val="00696E88"/>
    <w:rsid w:val="00697043"/>
    <w:rsid w:val="006A346B"/>
    <w:rsid w:val="006A45C4"/>
    <w:rsid w:val="006A49C5"/>
    <w:rsid w:val="006B18CC"/>
    <w:rsid w:val="006B6082"/>
    <w:rsid w:val="006B68F2"/>
    <w:rsid w:val="006C2DEA"/>
    <w:rsid w:val="006C4B50"/>
    <w:rsid w:val="006D244B"/>
    <w:rsid w:val="006D3415"/>
    <w:rsid w:val="006D4A56"/>
    <w:rsid w:val="006D77DE"/>
    <w:rsid w:val="006D7BED"/>
    <w:rsid w:val="006E1B88"/>
    <w:rsid w:val="006F121C"/>
    <w:rsid w:val="006F31DF"/>
    <w:rsid w:val="006F5908"/>
    <w:rsid w:val="006F7F34"/>
    <w:rsid w:val="0070019C"/>
    <w:rsid w:val="007003E1"/>
    <w:rsid w:val="00703275"/>
    <w:rsid w:val="00706B74"/>
    <w:rsid w:val="00710D01"/>
    <w:rsid w:val="00712951"/>
    <w:rsid w:val="00716F82"/>
    <w:rsid w:val="007210EF"/>
    <w:rsid w:val="00721204"/>
    <w:rsid w:val="0072466D"/>
    <w:rsid w:val="00724707"/>
    <w:rsid w:val="00727A1A"/>
    <w:rsid w:val="00734F3E"/>
    <w:rsid w:val="00736569"/>
    <w:rsid w:val="007375FC"/>
    <w:rsid w:val="00737BE1"/>
    <w:rsid w:val="00740BAB"/>
    <w:rsid w:val="00746FF4"/>
    <w:rsid w:val="00750A53"/>
    <w:rsid w:val="007535DF"/>
    <w:rsid w:val="00757B9A"/>
    <w:rsid w:val="00760E4E"/>
    <w:rsid w:val="00764FFA"/>
    <w:rsid w:val="00765213"/>
    <w:rsid w:val="007700E5"/>
    <w:rsid w:val="00772897"/>
    <w:rsid w:val="0077377D"/>
    <w:rsid w:val="00774832"/>
    <w:rsid w:val="0077574B"/>
    <w:rsid w:val="00781981"/>
    <w:rsid w:val="00784D01"/>
    <w:rsid w:val="007875CF"/>
    <w:rsid w:val="0079140C"/>
    <w:rsid w:val="007924FD"/>
    <w:rsid w:val="007970A5"/>
    <w:rsid w:val="00797812"/>
    <w:rsid w:val="007A5D56"/>
    <w:rsid w:val="007B025E"/>
    <w:rsid w:val="007B1DAB"/>
    <w:rsid w:val="007B693D"/>
    <w:rsid w:val="007B7C00"/>
    <w:rsid w:val="007C3074"/>
    <w:rsid w:val="007C377A"/>
    <w:rsid w:val="007C729F"/>
    <w:rsid w:val="007D49FA"/>
    <w:rsid w:val="007D5993"/>
    <w:rsid w:val="007D5D6C"/>
    <w:rsid w:val="007D7EAD"/>
    <w:rsid w:val="007E2C11"/>
    <w:rsid w:val="007E488A"/>
    <w:rsid w:val="007E61EF"/>
    <w:rsid w:val="007E74E2"/>
    <w:rsid w:val="007E7CC5"/>
    <w:rsid w:val="007F02A8"/>
    <w:rsid w:val="007F0B0F"/>
    <w:rsid w:val="007F2909"/>
    <w:rsid w:val="007F63B3"/>
    <w:rsid w:val="00801057"/>
    <w:rsid w:val="008016D5"/>
    <w:rsid w:val="008105FC"/>
    <w:rsid w:val="008115A6"/>
    <w:rsid w:val="008142CC"/>
    <w:rsid w:val="008179B7"/>
    <w:rsid w:val="00820F71"/>
    <w:rsid w:val="008216A4"/>
    <w:rsid w:val="00825EB4"/>
    <w:rsid w:val="00826169"/>
    <w:rsid w:val="0082683C"/>
    <w:rsid w:val="00826B02"/>
    <w:rsid w:val="00830DDA"/>
    <w:rsid w:val="0083235C"/>
    <w:rsid w:val="008417A3"/>
    <w:rsid w:val="008434FB"/>
    <w:rsid w:val="00847D14"/>
    <w:rsid w:val="00852537"/>
    <w:rsid w:val="00860B6A"/>
    <w:rsid w:val="0086164C"/>
    <w:rsid w:val="00862CAE"/>
    <w:rsid w:val="008670B8"/>
    <w:rsid w:val="008727B5"/>
    <w:rsid w:val="00873C56"/>
    <w:rsid w:val="0088515B"/>
    <w:rsid w:val="0089127C"/>
    <w:rsid w:val="00894357"/>
    <w:rsid w:val="008948E6"/>
    <w:rsid w:val="00894E4E"/>
    <w:rsid w:val="00895283"/>
    <w:rsid w:val="008961FD"/>
    <w:rsid w:val="008A00A7"/>
    <w:rsid w:val="008A28CA"/>
    <w:rsid w:val="008A54A7"/>
    <w:rsid w:val="008B5DBA"/>
    <w:rsid w:val="008B74D6"/>
    <w:rsid w:val="008B7C8A"/>
    <w:rsid w:val="008C056F"/>
    <w:rsid w:val="008C17B9"/>
    <w:rsid w:val="008C17C8"/>
    <w:rsid w:val="008C27D3"/>
    <w:rsid w:val="008C4443"/>
    <w:rsid w:val="008C48E1"/>
    <w:rsid w:val="008C52C7"/>
    <w:rsid w:val="008C56CE"/>
    <w:rsid w:val="008C7796"/>
    <w:rsid w:val="008E10C0"/>
    <w:rsid w:val="008E17F8"/>
    <w:rsid w:val="008E2240"/>
    <w:rsid w:val="008E297E"/>
    <w:rsid w:val="008E77CF"/>
    <w:rsid w:val="008F12D8"/>
    <w:rsid w:val="008F33DF"/>
    <w:rsid w:val="008F3F6D"/>
    <w:rsid w:val="008F7471"/>
    <w:rsid w:val="00900764"/>
    <w:rsid w:val="00901933"/>
    <w:rsid w:val="0090288D"/>
    <w:rsid w:val="00902F15"/>
    <w:rsid w:val="00911331"/>
    <w:rsid w:val="0091697E"/>
    <w:rsid w:val="00941988"/>
    <w:rsid w:val="00944814"/>
    <w:rsid w:val="0094676F"/>
    <w:rsid w:val="00947438"/>
    <w:rsid w:val="009521F9"/>
    <w:rsid w:val="00955C57"/>
    <w:rsid w:val="00955DF0"/>
    <w:rsid w:val="00962ABB"/>
    <w:rsid w:val="00963FE1"/>
    <w:rsid w:val="0096502F"/>
    <w:rsid w:val="00970614"/>
    <w:rsid w:val="00970B08"/>
    <w:rsid w:val="00970B21"/>
    <w:rsid w:val="00973D0E"/>
    <w:rsid w:val="00974124"/>
    <w:rsid w:val="009760EA"/>
    <w:rsid w:val="00976497"/>
    <w:rsid w:val="009777C4"/>
    <w:rsid w:val="00981185"/>
    <w:rsid w:val="00991DEE"/>
    <w:rsid w:val="00993D65"/>
    <w:rsid w:val="009957C9"/>
    <w:rsid w:val="00995F37"/>
    <w:rsid w:val="009B1151"/>
    <w:rsid w:val="009B71CF"/>
    <w:rsid w:val="009B7339"/>
    <w:rsid w:val="009B7649"/>
    <w:rsid w:val="009B7FCA"/>
    <w:rsid w:val="009C247D"/>
    <w:rsid w:val="009D0DDB"/>
    <w:rsid w:val="009D2394"/>
    <w:rsid w:val="009D78D4"/>
    <w:rsid w:val="009D7E70"/>
    <w:rsid w:val="009E045F"/>
    <w:rsid w:val="009E13E0"/>
    <w:rsid w:val="009E2F90"/>
    <w:rsid w:val="009E48A0"/>
    <w:rsid w:val="009E6634"/>
    <w:rsid w:val="009F1909"/>
    <w:rsid w:val="009F3D69"/>
    <w:rsid w:val="009F78E7"/>
    <w:rsid w:val="00A0087A"/>
    <w:rsid w:val="00A01DAD"/>
    <w:rsid w:val="00A01F11"/>
    <w:rsid w:val="00A02ED5"/>
    <w:rsid w:val="00A10D7A"/>
    <w:rsid w:val="00A120D2"/>
    <w:rsid w:val="00A22339"/>
    <w:rsid w:val="00A2559B"/>
    <w:rsid w:val="00A341F8"/>
    <w:rsid w:val="00A44D9B"/>
    <w:rsid w:val="00A454C4"/>
    <w:rsid w:val="00A45E2D"/>
    <w:rsid w:val="00A50810"/>
    <w:rsid w:val="00A52DD5"/>
    <w:rsid w:val="00A54C0A"/>
    <w:rsid w:val="00A54D1B"/>
    <w:rsid w:val="00A56BD5"/>
    <w:rsid w:val="00A649DE"/>
    <w:rsid w:val="00A661B2"/>
    <w:rsid w:val="00A72294"/>
    <w:rsid w:val="00A73FF1"/>
    <w:rsid w:val="00A82033"/>
    <w:rsid w:val="00A8229F"/>
    <w:rsid w:val="00A82A6C"/>
    <w:rsid w:val="00A83A62"/>
    <w:rsid w:val="00A8597F"/>
    <w:rsid w:val="00A87D5F"/>
    <w:rsid w:val="00A90DCC"/>
    <w:rsid w:val="00A916F7"/>
    <w:rsid w:val="00A93EA4"/>
    <w:rsid w:val="00A94BB0"/>
    <w:rsid w:val="00A953FC"/>
    <w:rsid w:val="00AA32FC"/>
    <w:rsid w:val="00AA3BC7"/>
    <w:rsid w:val="00AA476D"/>
    <w:rsid w:val="00AB58DF"/>
    <w:rsid w:val="00AC4AA1"/>
    <w:rsid w:val="00AC5323"/>
    <w:rsid w:val="00AC6A58"/>
    <w:rsid w:val="00AD07AD"/>
    <w:rsid w:val="00AD328B"/>
    <w:rsid w:val="00AD3F7E"/>
    <w:rsid w:val="00AD5928"/>
    <w:rsid w:val="00AD75AD"/>
    <w:rsid w:val="00AD7C84"/>
    <w:rsid w:val="00AE3071"/>
    <w:rsid w:val="00AE3B07"/>
    <w:rsid w:val="00AE50C3"/>
    <w:rsid w:val="00AE5D12"/>
    <w:rsid w:val="00AE7510"/>
    <w:rsid w:val="00AF01FE"/>
    <w:rsid w:val="00AF42F9"/>
    <w:rsid w:val="00AF483D"/>
    <w:rsid w:val="00B005D7"/>
    <w:rsid w:val="00B06329"/>
    <w:rsid w:val="00B06404"/>
    <w:rsid w:val="00B104ED"/>
    <w:rsid w:val="00B105FA"/>
    <w:rsid w:val="00B10937"/>
    <w:rsid w:val="00B17C4D"/>
    <w:rsid w:val="00B21F73"/>
    <w:rsid w:val="00B275BC"/>
    <w:rsid w:val="00B31A7F"/>
    <w:rsid w:val="00B322C7"/>
    <w:rsid w:val="00B34048"/>
    <w:rsid w:val="00B34486"/>
    <w:rsid w:val="00B44C65"/>
    <w:rsid w:val="00B46477"/>
    <w:rsid w:val="00B46D8C"/>
    <w:rsid w:val="00B529A3"/>
    <w:rsid w:val="00B556AD"/>
    <w:rsid w:val="00B60FF9"/>
    <w:rsid w:val="00B641B2"/>
    <w:rsid w:val="00B65593"/>
    <w:rsid w:val="00B657CD"/>
    <w:rsid w:val="00B65B6C"/>
    <w:rsid w:val="00B70059"/>
    <w:rsid w:val="00B715DE"/>
    <w:rsid w:val="00B717E9"/>
    <w:rsid w:val="00B71B06"/>
    <w:rsid w:val="00B71DBE"/>
    <w:rsid w:val="00B71FC5"/>
    <w:rsid w:val="00B72272"/>
    <w:rsid w:val="00B75829"/>
    <w:rsid w:val="00B76C97"/>
    <w:rsid w:val="00B77311"/>
    <w:rsid w:val="00B8466B"/>
    <w:rsid w:val="00B90A3E"/>
    <w:rsid w:val="00B929D1"/>
    <w:rsid w:val="00B97BA5"/>
    <w:rsid w:val="00BA2C3F"/>
    <w:rsid w:val="00BA4E30"/>
    <w:rsid w:val="00BB3125"/>
    <w:rsid w:val="00BB4391"/>
    <w:rsid w:val="00BC0B1A"/>
    <w:rsid w:val="00BC2B0E"/>
    <w:rsid w:val="00BC347F"/>
    <w:rsid w:val="00BC7133"/>
    <w:rsid w:val="00BC79DA"/>
    <w:rsid w:val="00BD31C3"/>
    <w:rsid w:val="00BD7886"/>
    <w:rsid w:val="00BE08AC"/>
    <w:rsid w:val="00BE0B39"/>
    <w:rsid w:val="00BE11E0"/>
    <w:rsid w:val="00BE2F36"/>
    <w:rsid w:val="00BE40F6"/>
    <w:rsid w:val="00BE68B7"/>
    <w:rsid w:val="00BE799B"/>
    <w:rsid w:val="00BF66DC"/>
    <w:rsid w:val="00C0231E"/>
    <w:rsid w:val="00C0289B"/>
    <w:rsid w:val="00C06002"/>
    <w:rsid w:val="00C0623C"/>
    <w:rsid w:val="00C12A59"/>
    <w:rsid w:val="00C12EB8"/>
    <w:rsid w:val="00C131E3"/>
    <w:rsid w:val="00C21F47"/>
    <w:rsid w:val="00C2288B"/>
    <w:rsid w:val="00C27913"/>
    <w:rsid w:val="00C31FE0"/>
    <w:rsid w:val="00C324EB"/>
    <w:rsid w:val="00C343B5"/>
    <w:rsid w:val="00C349DD"/>
    <w:rsid w:val="00C36850"/>
    <w:rsid w:val="00C426AB"/>
    <w:rsid w:val="00C502B2"/>
    <w:rsid w:val="00C5136B"/>
    <w:rsid w:val="00C55CB6"/>
    <w:rsid w:val="00C5662A"/>
    <w:rsid w:val="00C56FCD"/>
    <w:rsid w:val="00C60B9F"/>
    <w:rsid w:val="00C62C2C"/>
    <w:rsid w:val="00C64ABC"/>
    <w:rsid w:val="00C750B1"/>
    <w:rsid w:val="00C8393C"/>
    <w:rsid w:val="00C8645C"/>
    <w:rsid w:val="00C90021"/>
    <w:rsid w:val="00C960E9"/>
    <w:rsid w:val="00C963D2"/>
    <w:rsid w:val="00C97430"/>
    <w:rsid w:val="00CA1E5D"/>
    <w:rsid w:val="00CA5450"/>
    <w:rsid w:val="00CA547E"/>
    <w:rsid w:val="00CB2CEA"/>
    <w:rsid w:val="00CB35A9"/>
    <w:rsid w:val="00CB4C8C"/>
    <w:rsid w:val="00CB51C6"/>
    <w:rsid w:val="00CC3DBD"/>
    <w:rsid w:val="00CC4BE1"/>
    <w:rsid w:val="00CD0663"/>
    <w:rsid w:val="00CD14B0"/>
    <w:rsid w:val="00CD1566"/>
    <w:rsid w:val="00CD1B97"/>
    <w:rsid w:val="00CD4F8E"/>
    <w:rsid w:val="00CE0254"/>
    <w:rsid w:val="00CE20B2"/>
    <w:rsid w:val="00CE7320"/>
    <w:rsid w:val="00CF00A4"/>
    <w:rsid w:val="00CF627A"/>
    <w:rsid w:val="00CF659F"/>
    <w:rsid w:val="00CF7705"/>
    <w:rsid w:val="00D05AED"/>
    <w:rsid w:val="00D07F07"/>
    <w:rsid w:val="00D11137"/>
    <w:rsid w:val="00D12792"/>
    <w:rsid w:val="00D15514"/>
    <w:rsid w:val="00D16B3D"/>
    <w:rsid w:val="00D20FD8"/>
    <w:rsid w:val="00D2280D"/>
    <w:rsid w:val="00D26501"/>
    <w:rsid w:val="00D27284"/>
    <w:rsid w:val="00D36B96"/>
    <w:rsid w:val="00D40063"/>
    <w:rsid w:val="00D408AD"/>
    <w:rsid w:val="00D414A9"/>
    <w:rsid w:val="00D450C3"/>
    <w:rsid w:val="00D45438"/>
    <w:rsid w:val="00D51737"/>
    <w:rsid w:val="00D566BA"/>
    <w:rsid w:val="00D56789"/>
    <w:rsid w:val="00D61B77"/>
    <w:rsid w:val="00D66AA0"/>
    <w:rsid w:val="00D70C46"/>
    <w:rsid w:val="00D72639"/>
    <w:rsid w:val="00D74C1A"/>
    <w:rsid w:val="00D74F73"/>
    <w:rsid w:val="00D753D9"/>
    <w:rsid w:val="00D854E1"/>
    <w:rsid w:val="00D860A7"/>
    <w:rsid w:val="00D92BB9"/>
    <w:rsid w:val="00D96D28"/>
    <w:rsid w:val="00DA17FB"/>
    <w:rsid w:val="00DA1D07"/>
    <w:rsid w:val="00DA51CB"/>
    <w:rsid w:val="00DA7759"/>
    <w:rsid w:val="00DB0EF1"/>
    <w:rsid w:val="00DB16DC"/>
    <w:rsid w:val="00DB1E95"/>
    <w:rsid w:val="00DB1ED9"/>
    <w:rsid w:val="00DB26A4"/>
    <w:rsid w:val="00DB431B"/>
    <w:rsid w:val="00DB5E1F"/>
    <w:rsid w:val="00DC1EB3"/>
    <w:rsid w:val="00DC328A"/>
    <w:rsid w:val="00DC444F"/>
    <w:rsid w:val="00DC4C28"/>
    <w:rsid w:val="00DC65ED"/>
    <w:rsid w:val="00DC6C5F"/>
    <w:rsid w:val="00DD2279"/>
    <w:rsid w:val="00DD22AE"/>
    <w:rsid w:val="00DE0529"/>
    <w:rsid w:val="00DF1232"/>
    <w:rsid w:val="00DF47C8"/>
    <w:rsid w:val="00DF4AE5"/>
    <w:rsid w:val="00DF600C"/>
    <w:rsid w:val="00DF6DB6"/>
    <w:rsid w:val="00E01027"/>
    <w:rsid w:val="00E01E8D"/>
    <w:rsid w:val="00E04107"/>
    <w:rsid w:val="00E1055A"/>
    <w:rsid w:val="00E1185C"/>
    <w:rsid w:val="00E12C22"/>
    <w:rsid w:val="00E15471"/>
    <w:rsid w:val="00E16CA0"/>
    <w:rsid w:val="00E17D71"/>
    <w:rsid w:val="00E21762"/>
    <w:rsid w:val="00E22866"/>
    <w:rsid w:val="00E23963"/>
    <w:rsid w:val="00E23B02"/>
    <w:rsid w:val="00E242E3"/>
    <w:rsid w:val="00E2439A"/>
    <w:rsid w:val="00E26631"/>
    <w:rsid w:val="00E267EF"/>
    <w:rsid w:val="00E27275"/>
    <w:rsid w:val="00E309E4"/>
    <w:rsid w:val="00E30ECA"/>
    <w:rsid w:val="00E3404A"/>
    <w:rsid w:val="00E342BD"/>
    <w:rsid w:val="00E352C2"/>
    <w:rsid w:val="00E35B69"/>
    <w:rsid w:val="00E36559"/>
    <w:rsid w:val="00E416B0"/>
    <w:rsid w:val="00E46514"/>
    <w:rsid w:val="00E5087E"/>
    <w:rsid w:val="00E50938"/>
    <w:rsid w:val="00E50E08"/>
    <w:rsid w:val="00E55B24"/>
    <w:rsid w:val="00E55F2B"/>
    <w:rsid w:val="00E5785B"/>
    <w:rsid w:val="00E6055E"/>
    <w:rsid w:val="00E6103E"/>
    <w:rsid w:val="00E61DC0"/>
    <w:rsid w:val="00E6506F"/>
    <w:rsid w:val="00E652FF"/>
    <w:rsid w:val="00E65ED6"/>
    <w:rsid w:val="00E66D19"/>
    <w:rsid w:val="00E71081"/>
    <w:rsid w:val="00E7504C"/>
    <w:rsid w:val="00E7737C"/>
    <w:rsid w:val="00E81166"/>
    <w:rsid w:val="00E850EE"/>
    <w:rsid w:val="00E858E1"/>
    <w:rsid w:val="00E8644B"/>
    <w:rsid w:val="00E87144"/>
    <w:rsid w:val="00E971AB"/>
    <w:rsid w:val="00EA0EBB"/>
    <w:rsid w:val="00EB20D7"/>
    <w:rsid w:val="00EB4435"/>
    <w:rsid w:val="00EB478C"/>
    <w:rsid w:val="00EC016F"/>
    <w:rsid w:val="00EC0D87"/>
    <w:rsid w:val="00EC33B9"/>
    <w:rsid w:val="00EC587F"/>
    <w:rsid w:val="00ED0BFA"/>
    <w:rsid w:val="00ED4857"/>
    <w:rsid w:val="00ED6481"/>
    <w:rsid w:val="00ED6953"/>
    <w:rsid w:val="00ED7C37"/>
    <w:rsid w:val="00EE0C4C"/>
    <w:rsid w:val="00EE2D34"/>
    <w:rsid w:val="00EE38A9"/>
    <w:rsid w:val="00EE7C53"/>
    <w:rsid w:val="00EF1565"/>
    <w:rsid w:val="00EF49D4"/>
    <w:rsid w:val="00EF6137"/>
    <w:rsid w:val="00EF633F"/>
    <w:rsid w:val="00F01418"/>
    <w:rsid w:val="00F07687"/>
    <w:rsid w:val="00F11CD6"/>
    <w:rsid w:val="00F13D09"/>
    <w:rsid w:val="00F14451"/>
    <w:rsid w:val="00F15A84"/>
    <w:rsid w:val="00F17CE8"/>
    <w:rsid w:val="00F20FD4"/>
    <w:rsid w:val="00F251C4"/>
    <w:rsid w:val="00F26ED7"/>
    <w:rsid w:val="00F26F47"/>
    <w:rsid w:val="00F275F9"/>
    <w:rsid w:val="00F27A15"/>
    <w:rsid w:val="00F36969"/>
    <w:rsid w:val="00F43D78"/>
    <w:rsid w:val="00F464EB"/>
    <w:rsid w:val="00F47218"/>
    <w:rsid w:val="00F47A06"/>
    <w:rsid w:val="00F53F00"/>
    <w:rsid w:val="00F56E1E"/>
    <w:rsid w:val="00F65269"/>
    <w:rsid w:val="00F65EB1"/>
    <w:rsid w:val="00F6765B"/>
    <w:rsid w:val="00F73ED2"/>
    <w:rsid w:val="00F74E07"/>
    <w:rsid w:val="00F75F84"/>
    <w:rsid w:val="00F76D42"/>
    <w:rsid w:val="00F77268"/>
    <w:rsid w:val="00F819E6"/>
    <w:rsid w:val="00F84EBF"/>
    <w:rsid w:val="00F9202A"/>
    <w:rsid w:val="00F9357A"/>
    <w:rsid w:val="00F9598B"/>
    <w:rsid w:val="00FA0EA9"/>
    <w:rsid w:val="00FA1B6A"/>
    <w:rsid w:val="00FA267C"/>
    <w:rsid w:val="00FA3AD2"/>
    <w:rsid w:val="00FB082B"/>
    <w:rsid w:val="00FB51DC"/>
    <w:rsid w:val="00FB5867"/>
    <w:rsid w:val="00FB5C70"/>
    <w:rsid w:val="00FB61CB"/>
    <w:rsid w:val="00FC2623"/>
    <w:rsid w:val="00FC3457"/>
    <w:rsid w:val="00FC705A"/>
    <w:rsid w:val="00FD543F"/>
    <w:rsid w:val="00FD6BD9"/>
    <w:rsid w:val="00FE06FB"/>
    <w:rsid w:val="00FE4CBC"/>
    <w:rsid w:val="00FE4E07"/>
    <w:rsid w:val="00FE4E81"/>
    <w:rsid w:val="00FE7B48"/>
    <w:rsid w:val="00FF7AFC"/>
    <w:rsid w:val="089E73C8"/>
    <w:rsid w:val="08C40798"/>
    <w:rsid w:val="14DA2053"/>
    <w:rsid w:val="1804381D"/>
    <w:rsid w:val="19356879"/>
    <w:rsid w:val="1EF03C0E"/>
    <w:rsid w:val="22455258"/>
    <w:rsid w:val="258A2871"/>
    <w:rsid w:val="2CDB615F"/>
    <w:rsid w:val="2DEE6DEF"/>
    <w:rsid w:val="32132F2F"/>
    <w:rsid w:val="32C06920"/>
    <w:rsid w:val="379C468B"/>
    <w:rsid w:val="3A76671F"/>
    <w:rsid w:val="3F1C25EC"/>
    <w:rsid w:val="416B0CB5"/>
    <w:rsid w:val="451007AD"/>
    <w:rsid w:val="4A4A04BA"/>
    <w:rsid w:val="5E6630B8"/>
    <w:rsid w:val="799D3913"/>
    <w:rsid w:val="79C23B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88" w:lineRule="auto"/>
    </w:pPr>
    <w:rPr>
      <w:rFonts w:asciiTheme="minorHAnsi" w:hAnsiTheme="minorHAnsi" w:eastAsiaTheme="minorEastAsia" w:cstheme="minorBidi"/>
      <w:sz w:val="21"/>
      <w:szCs w:val="21"/>
      <w:lang w:val="en-US" w:eastAsia="ja-JP" w:bidi="ar-SA"/>
    </w:rPr>
  </w:style>
  <w:style w:type="paragraph" w:styleId="2">
    <w:name w:val="heading 1"/>
    <w:basedOn w:val="1"/>
    <w:next w:val="1"/>
    <w:link w:val="32"/>
    <w:qFormat/>
    <w:uiPriority w:val="9"/>
    <w:pPr>
      <w:keepNext/>
      <w:keepLines/>
      <w:spacing w:before="360" w:after="40" w:line="240" w:lineRule="auto"/>
      <w:outlineLvl w:val="0"/>
    </w:pPr>
    <w:rPr>
      <w:rFonts w:asciiTheme="majorHAnsi" w:hAnsiTheme="majorHAnsi" w:eastAsiaTheme="majorEastAsia" w:cstheme="majorBidi"/>
      <w:color w:val="E46C0A" w:themeColor="accent6" w:themeShade="BF"/>
      <w:sz w:val="40"/>
      <w:szCs w:val="40"/>
    </w:rPr>
  </w:style>
  <w:style w:type="paragraph" w:styleId="3">
    <w:name w:val="heading 2"/>
    <w:basedOn w:val="1"/>
    <w:next w:val="1"/>
    <w:link w:val="33"/>
    <w:unhideWhenUsed/>
    <w:qFormat/>
    <w:uiPriority w:val="9"/>
    <w:pPr>
      <w:keepNext/>
      <w:keepLines/>
      <w:spacing w:before="80" w:after="0" w:line="240" w:lineRule="auto"/>
      <w:outlineLvl w:val="1"/>
    </w:pPr>
    <w:rPr>
      <w:rFonts w:asciiTheme="majorHAnsi" w:hAnsiTheme="majorHAnsi" w:eastAsiaTheme="majorEastAsia" w:cstheme="majorBidi"/>
      <w:color w:val="E46C0A" w:themeColor="accent6" w:themeShade="BF"/>
      <w:sz w:val="28"/>
      <w:szCs w:val="28"/>
    </w:rPr>
  </w:style>
  <w:style w:type="paragraph" w:styleId="4">
    <w:name w:val="heading 3"/>
    <w:basedOn w:val="1"/>
    <w:next w:val="1"/>
    <w:link w:val="34"/>
    <w:semiHidden/>
    <w:unhideWhenUsed/>
    <w:qFormat/>
    <w:uiPriority w:val="9"/>
    <w:pPr>
      <w:keepNext/>
      <w:keepLines/>
      <w:spacing w:before="80" w:after="0" w:line="240" w:lineRule="auto"/>
      <w:outlineLvl w:val="2"/>
    </w:pPr>
    <w:rPr>
      <w:rFonts w:asciiTheme="majorHAnsi" w:hAnsiTheme="majorHAnsi" w:eastAsiaTheme="majorEastAsia" w:cstheme="majorBidi"/>
      <w:color w:val="E46C0A" w:themeColor="accent6" w:themeShade="BF"/>
      <w:sz w:val="24"/>
      <w:szCs w:val="24"/>
    </w:rPr>
  </w:style>
  <w:style w:type="paragraph" w:styleId="5">
    <w:name w:val="heading 4"/>
    <w:basedOn w:val="1"/>
    <w:next w:val="1"/>
    <w:link w:val="35"/>
    <w:semiHidden/>
    <w:unhideWhenUsed/>
    <w:qFormat/>
    <w:uiPriority w:val="9"/>
    <w:pPr>
      <w:keepNext/>
      <w:keepLines/>
      <w:spacing w:before="80" w:after="0"/>
      <w:outlineLvl w:val="3"/>
    </w:pPr>
    <w:rPr>
      <w:rFonts w:asciiTheme="majorHAnsi" w:hAnsiTheme="majorHAnsi" w:eastAsiaTheme="majorEastAsia" w:cstheme="majorBidi"/>
      <w:color w:val="F79646" w:themeColor="accent6"/>
      <w:sz w:val="22"/>
      <w:szCs w:val="22"/>
      <w14:textFill>
        <w14:solidFill>
          <w14:schemeClr w14:val="accent6"/>
        </w14:solidFill>
      </w14:textFill>
    </w:rPr>
  </w:style>
  <w:style w:type="paragraph" w:styleId="6">
    <w:name w:val="heading 5"/>
    <w:basedOn w:val="1"/>
    <w:next w:val="1"/>
    <w:link w:val="36"/>
    <w:semiHidden/>
    <w:unhideWhenUsed/>
    <w:qFormat/>
    <w:uiPriority w:val="9"/>
    <w:pPr>
      <w:keepNext/>
      <w:keepLines/>
      <w:spacing w:before="40" w:after="0"/>
      <w:outlineLvl w:val="4"/>
    </w:pPr>
    <w:rPr>
      <w:rFonts w:asciiTheme="majorHAnsi" w:hAnsiTheme="majorHAnsi" w:eastAsiaTheme="majorEastAsia" w:cstheme="majorBidi"/>
      <w:i/>
      <w:iCs/>
      <w:color w:val="F79646" w:themeColor="accent6"/>
      <w:sz w:val="22"/>
      <w:szCs w:val="22"/>
      <w14:textFill>
        <w14:solidFill>
          <w14:schemeClr w14:val="accent6"/>
        </w14:solidFill>
      </w14:textFill>
    </w:rPr>
  </w:style>
  <w:style w:type="paragraph" w:styleId="7">
    <w:name w:val="heading 6"/>
    <w:basedOn w:val="1"/>
    <w:next w:val="1"/>
    <w:link w:val="37"/>
    <w:semiHidden/>
    <w:unhideWhenUsed/>
    <w:qFormat/>
    <w:uiPriority w:val="9"/>
    <w:pPr>
      <w:keepNext/>
      <w:keepLines/>
      <w:spacing w:before="40" w:after="0"/>
      <w:outlineLvl w:val="5"/>
    </w:pPr>
    <w:rPr>
      <w:rFonts w:asciiTheme="majorHAnsi" w:hAnsiTheme="majorHAnsi" w:eastAsiaTheme="majorEastAsia" w:cstheme="majorBidi"/>
      <w:color w:val="F79646" w:themeColor="accent6"/>
      <w14:textFill>
        <w14:solidFill>
          <w14:schemeClr w14:val="accent6"/>
        </w14:solidFill>
      </w14:textFill>
    </w:rPr>
  </w:style>
  <w:style w:type="paragraph" w:styleId="8">
    <w:name w:val="heading 7"/>
    <w:basedOn w:val="1"/>
    <w:next w:val="1"/>
    <w:link w:val="38"/>
    <w:semiHidden/>
    <w:unhideWhenUsed/>
    <w:qFormat/>
    <w:uiPriority w:val="9"/>
    <w:pPr>
      <w:keepNext/>
      <w:keepLines/>
      <w:spacing w:before="40" w:after="0"/>
      <w:outlineLvl w:val="6"/>
    </w:pPr>
    <w:rPr>
      <w:rFonts w:asciiTheme="majorHAnsi" w:hAnsiTheme="majorHAnsi" w:eastAsiaTheme="majorEastAsia" w:cstheme="majorBidi"/>
      <w:b/>
      <w:bCs/>
      <w:color w:val="F79646" w:themeColor="accent6"/>
      <w14:textFill>
        <w14:solidFill>
          <w14:schemeClr w14:val="accent6"/>
        </w14:solidFill>
      </w14:textFill>
    </w:rPr>
  </w:style>
  <w:style w:type="paragraph" w:styleId="9">
    <w:name w:val="heading 8"/>
    <w:basedOn w:val="1"/>
    <w:next w:val="1"/>
    <w:link w:val="39"/>
    <w:semiHidden/>
    <w:unhideWhenUsed/>
    <w:qFormat/>
    <w:uiPriority w:val="9"/>
    <w:pPr>
      <w:keepNext/>
      <w:keepLines/>
      <w:spacing w:before="40" w:after="0"/>
      <w:outlineLvl w:val="7"/>
    </w:pPr>
    <w:rPr>
      <w:rFonts w:asciiTheme="majorHAnsi" w:hAnsiTheme="majorHAnsi" w:eastAsiaTheme="majorEastAsia" w:cstheme="majorBidi"/>
      <w:b/>
      <w:bCs/>
      <w:i/>
      <w:iCs/>
      <w:color w:val="F79646" w:themeColor="accent6"/>
      <w:sz w:val="20"/>
      <w:szCs w:val="20"/>
      <w14:textFill>
        <w14:solidFill>
          <w14:schemeClr w14:val="accent6"/>
        </w14:solidFill>
      </w14:textFill>
    </w:rPr>
  </w:style>
  <w:style w:type="paragraph" w:styleId="10">
    <w:name w:val="heading 9"/>
    <w:basedOn w:val="1"/>
    <w:next w:val="1"/>
    <w:link w:val="40"/>
    <w:semiHidden/>
    <w:unhideWhenUsed/>
    <w:qFormat/>
    <w:uiPriority w:val="9"/>
    <w:pPr>
      <w:keepNext/>
      <w:keepLines/>
      <w:spacing w:before="40" w:after="0"/>
      <w:outlineLvl w:val="8"/>
    </w:pPr>
    <w:rPr>
      <w:rFonts w:asciiTheme="majorHAnsi" w:hAnsiTheme="majorHAnsi" w:eastAsiaTheme="majorEastAsia" w:cstheme="majorBidi"/>
      <w:i/>
      <w:iCs/>
      <w:color w:val="F79646" w:themeColor="accent6"/>
      <w:sz w:val="20"/>
      <w:szCs w:val="20"/>
      <w14:textFill>
        <w14:solidFill>
          <w14:schemeClr w14:val="accent6"/>
        </w14:solidFill>
      </w14:textFill>
    </w:rPr>
  </w:style>
  <w:style w:type="character" w:default="1" w:styleId="20">
    <w:name w:val="Default Paragraph Font"/>
    <w:semiHidden/>
    <w:unhideWhenUsed/>
    <w:qFormat/>
    <w:uiPriority w:val="1"/>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11">
    <w:name w:val="Normal (Web)"/>
    <w:basedOn w:val="1"/>
    <w:unhideWhenUsed/>
    <w:qFormat/>
    <w:uiPriority w:val="99"/>
    <w:pPr>
      <w:spacing w:before="100" w:beforeAutospacing="1" w:after="100" w:afterAutospacing="1"/>
      <w:ind w:firstLine="100" w:firstLineChars="100"/>
    </w:pPr>
    <w:rPr>
      <w:rFonts w:ascii="ＭＳ Ｐゴシック" w:hAnsi="ＭＳ Ｐゴシック" w:eastAsia="ＭＳ Ｐゴシック" w:cs="ＭＳ Ｐゴシック"/>
      <w:sz w:val="24"/>
      <w:szCs w:val="24"/>
    </w:rPr>
  </w:style>
  <w:style w:type="paragraph" w:styleId="12">
    <w:name w:val="caption"/>
    <w:basedOn w:val="1"/>
    <w:next w:val="1"/>
    <w:semiHidden/>
    <w:unhideWhenUsed/>
    <w:qFormat/>
    <w:uiPriority w:val="35"/>
    <w:pPr>
      <w:spacing w:line="240" w:lineRule="auto"/>
    </w:pPr>
    <w:rPr>
      <w:b/>
      <w:bCs/>
      <w:smallCaps/>
      <w:color w:val="595959" w:themeColor="text1" w:themeTint="A6"/>
      <w14:textFill>
        <w14:solidFill>
          <w14:schemeClr w14:val="tx1">
            <w14:lumMod w14:val="65000"/>
            <w14:lumOff w14:val="35000"/>
          </w14:schemeClr>
        </w14:solidFill>
      </w14:textFill>
    </w:rPr>
  </w:style>
  <w:style w:type="paragraph" w:styleId="13">
    <w:name w:val="Title"/>
    <w:basedOn w:val="1"/>
    <w:next w:val="1"/>
    <w:link w:val="44"/>
    <w:qFormat/>
    <w:uiPriority w:val="10"/>
    <w:pPr>
      <w:spacing w:after="0" w:line="240" w:lineRule="auto"/>
      <w:contextualSpacing/>
    </w:pPr>
    <w:rPr>
      <w:rFonts w:asciiTheme="majorHAnsi" w:hAnsiTheme="majorHAnsi" w:eastAsiaTheme="majorEastAsia" w:cstheme="majorBidi"/>
      <w:color w:val="262626" w:themeColor="text1" w:themeTint="D9"/>
      <w:spacing w:val="-15"/>
      <w:sz w:val="96"/>
      <w:szCs w:val="96"/>
      <w14:textFill>
        <w14:solidFill>
          <w14:schemeClr w14:val="tx1">
            <w14:lumMod w14:val="85000"/>
            <w14:lumOff w14:val="15000"/>
          </w14:schemeClr>
        </w14:solidFill>
      </w14:textFill>
    </w:rPr>
  </w:style>
  <w:style w:type="paragraph" w:styleId="14">
    <w:name w:val="Date"/>
    <w:basedOn w:val="1"/>
    <w:next w:val="1"/>
    <w:link w:val="43"/>
    <w:semiHidden/>
    <w:unhideWhenUsed/>
    <w:qFormat/>
    <w:uiPriority w:val="99"/>
  </w:style>
  <w:style w:type="paragraph" w:styleId="15">
    <w:name w:val="footer"/>
    <w:basedOn w:val="1"/>
    <w:link w:val="29"/>
    <w:unhideWhenUsed/>
    <w:qFormat/>
    <w:uiPriority w:val="99"/>
    <w:pPr>
      <w:tabs>
        <w:tab w:val="center" w:pos="4252"/>
        <w:tab w:val="right" w:pos="8504"/>
      </w:tabs>
      <w:snapToGrid w:val="0"/>
    </w:pPr>
  </w:style>
  <w:style w:type="paragraph" w:styleId="16">
    <w:name w:val="Plain Text"/>
    <w:basedOn w:val="1"/>
    <w:link w:val="31"/>
    <w:semiHidden/>
    <w:unhideWhenUsed/>
    <w:qFormat/>
    <w:uiPriority w:val="99"/>
    <w:rPr>
      <w:rFonts w:ascii="ＭＳ ゴシック" w:hAnsi="Courier New" w:eastAsia="ＭＳ ゴシック" w:cs="Courier New"/>
      <w:sz w:val="20"/>
    </w:rPr>
  </w:style>
  <w:style w:type="paragraph" w:styleId="17">
    <w:name w:val="Balloon Text"/>
    <w:basedOn w:val="1"/>
    <w:link w:val="30"/>
    <w:semiHidden/>
    <w:unhideWhenUsed/>
    <w:qFormat/>
    <w:uiPriority w:val="99"/>
    <w:rPr>
      <w:rFonts w:asciiTheme="majorHAnsi" w:hAnsiTheme="majorHAnsi" w:eastAsiaTheme="majorEastAsia" w:cstheme="majorBidi"/>
      <w:sz w:val="18"/>
      <w:szCs w:val="18"/>
    </w:rPr>
  </w:style>
  <w:style w:type="paragraph" w:styleId="18">
    <w:name w:val="header"/>
    <w:basedOn w:val="1"/>
    <w:link w:val="28"/>
    <w:unhideWhenUsed/>
    <w:qFormat/>
    <w:uiPriority w:val="99"/>
    <w:pPr>
      <w:tabs>
        <w:tab w:val="center" w:pos="4252"/>
        <w:tab w:val="right" w:pos="8504"/>
      </w:tabs>
      <w:snapToGrid w:val="0"/>
    </w:pPr>
  </w:style>
  <w:style w:type="paragraph" w:styleId="19">
    <w:name w:val="Subtitle"/>
    <w:basedOn w:val="1"/>
    <w:next w:val="1"/>
    <w:link w:val="45"/>
    <w:qFormat/>
    <w:uiPriority w:val="11"/>
    <w:pPr>
      <w:spacing w:line="240" w:lineRule="auto"/>
    </w:pPr>
    <w:rPr>
      <w:rFonts w:asciiTheme="majorHAnsi" w:hAnsiTheme="majorHAnsi" w:eastAsiaTheme="majorEastAsia" w:cstheme="majorBidi"/>
      <w:sz w:val="30"/>
      <w:szCs w:val="30"/>
    </w:rPr>
  </w:style>
  <w:style w:type="character" w:styleId="21">
    <w:name w:val="Strong"/>
    <w:basedOn w:val="20"/>
    <w:qFormat/>
    <w:uiPriority w:val="22"/>
    <w:rPr>
      <w:b/>
      <w:bCs/>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FollowedHyperlink"/>
    <w:basedOn w:val="20"/>
    <w:semiHidden/>
    <w:unhideWhenUsed/>
    <w:qFormat/>
    <w:uiPriority w:val="99"/>
    <w:rPr>
      <w:color w:val="800080" w:themeColor="followedHyperlink"/>
      <w:u w:val="single"/>
      <w14:textFill>
        <w14:solidFill>
          <w14:schemeClr w14:val="folHlink"/>
        </w14:solidFill>
      </w14:textFill>
    </w:rPr>
  </w:style>
  <w:style w:type="character" w:styleId="24">
    <w:name w:val="Emphasis"/>
    <w:basedOn w:val="20"/>
    <w:qFormat/>
    <w:uiPriority w:val="20"/>
    <w:rPr>
      <w:i/>
      <w:iCs/>
      <w:color w:val="F79646" w:themeColor="accent6"/>
      <w14:textFill>
        <w14:solidFill>
          <w14:schemeClr w14:val="accent6"/>
        </w14:solidFill>
      </w14:textFill>
    </w:r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27">
    <w:name w:val="List Paragraph"/>
    <w:basedOn w:val="1"/>
    <w:qFormat/>
    <w:uiPriority w:val="34"/>
    <w:pPr>
      <w:ind w:left="840" w:leftChars="400"/>
    </w:pPr>
  </w:style>
  <w:style w:type="character" w:customStyle="1" w:styleId="28">
    <w:name w:val="ヘッダー (文字)"/>
    <w:basedOn w:val="20"/>
    <w:link w:val="18"/>
    <w:qFormat/>
    <w:uiPriority w:val="99"/>
  </w:style>
  <w:style w:type="character" w:customStyle="1" w:styleId="29">
    <w:name w:val="フッター (文字)"/>
    <w:basedOn w:val="20"/>
    <w:link w:val="15"/>
    <w:qFormat/>
    <w:uiPriority w:val="99"/>
  </w:style>
  <w:style w:type="character" w:customStyle="1" w:styleId="30">
    <w:name w:val="吹き出し (文字)"/>
    <w:basedOn w:val="20"/>
    <w:link w:val="17"/>
    <w:semiHidden/>
    <w:qFormat/>
    <w:uiPriority w:val="99"/>
    <w:rPr>
      <w:rFonts w:asciiTheme="majorHAnsi" w:hAnsiTheme="majorHAnsi" w:eastAsiaTheme="majorEastAsia" w:cstheme="majorBidi"/>
      <w:sz w:val="18"/>
      <w:szCs w:val="18"/>
    </w:rPr>
  </w:style>
  <w:style w:type="character" w:customStyle="1" w:styleId="31">
    <w:name w:val="書式なし (文字)"/>
    <w:basedOn w:val="20"/>
    <w:link w:val="16"/>
    <w:semiHidden/>
    <w:qFormat/>
    <w:uiPriority w:val="99"/>
    <w:rPr>
      <w:rFonts w:ascii="ＭＳ ゴシック" w:hAnsi="Courier New" w:eastAsia="ＭＳ ゴシック" w:cs="Courier New"/>
      <w:sz w:val="20"/>
      <w:szCs w:val="21"/>
    </w:rPr>
  </w:style>
  <w:style w:type="character" w:customStyle="1" w:styleId="32">
    <w:name w:val="見出し 1 (文字)"/>
    <w:basedOn w:val="20"/>
    <w:link w:val="2"/>
    <w:qFormat/>
    <w:uiPriority w:val="9"/>
    <w:rPr>
      <w:rFonts w:asciiTheme="majorHAnsi" w:hAnsiTheme="majorHAnsi" w:eastAsiaTheme="majorEastAsia" w:cstheme="majorBidi"/>
      <w:color w:val="E46C0A" w:themeColor="accent6" w:themeShade="BF"/>
      <w:sz w:val="40"/>
      <w:szCs w:val="40"/>
    </w:rPr>
  </w:style>
  <w:style w:type="character" w:customStyle="1" w:styleId="33">
    <w:name w:val="見出し 2 (文字)"/>
    <w:basedOn w:val="20"/>
    <w:link w:val="3"/>
    <w:qFormat/>
    <w:uiPriority w:val="9"/>
    <w:rPr>
      <w:rFonts w:asciiTheme="majorHAnsi" w:hAnsiTheme="majorHAnsi" w:eastAsiaTheme="majorEastAsia" w:cstheme="majorBidi"/>
      <w:color w:val="E46C0A" w:themeColor="accent6" w:themeShade="BF"/>
      <w:sz w:val="28"/>
      <w:szCs w:val="28"/>
    </w:rPr>
  </w:style>
  <w:style w:type="character" w:customStyle="1" w:styleId="34">
    <w:name w:val="見出し 3 (文字)"/>
    <w:basedOn w:val="20"/>
    <w:link w:val="4"/>
    <w:semiHidden/>
    <w:qFormat/>
    <w:uiPriority w:val="9"/>
    <w:rPr>
      <w:rFonts w:asciiTheme="majorHAnsi" w:hAnsiTheme="majorHAnsi" w:eastAsiaTheme="majorEastAsia" w:cstheme="majorBidi"/>
      <w:color w:val="E46C0A" w:themeColor="accent6" w:themeShade="BF"/>
      <w:sz w:val="24"/>
      <w:szCs w:val="24"/>
    </w:rPr>
  </w:style>
  <w:style w:type="character" w:customStyle="1" w:styleId="35">
    <w:name w:val="見出し 4 (文字)"/>
    <w:basedOn w:val="20"/>
    <w:link w:val="5"/>
    <w:semiHidden/>
    <w:qFormat/>
    <w:uiPriority w:val="9"/>
    <w:rPr>
      <w:rFonts w:asciiTheme="majorHAnsi" w:hAnsiTheme="majorHAnsi" w:eastAsiaTheme="majorEastAsia" w:cstheme="majorBidi"/>
      <w:color w:val="F79646" w:themeColor="accent6"/>
      <w:sz w:val="22"/>
      <w:szCs w:val="22"/>
      <w14:textFill>
        <w14:solidFill>
          <w14:schemeClr w14:val="accent6"/>
        </w14:solidFill>
      </w14:textFill>
    </w:rPr>
  </w:style>
  <w:style w:type="character" w:customStyle="1" w:styleId="36">
    <w:name w:val="見出し 5 (文字)"/>
    <w:basedOn w:val="20"/>
    <w:link w:val="6"/>
    <w:semiHidden/>
    <w:qFormat/>
    <w:uiPriority w:val="9"/>
    <w:rPr>
      <w:rFonts w:asciiTheme="majorHAnsi" w:hAnsiTheme="majorHAnsi" w:eastAsiaTheme="majorEastAsia" w:cstheme="majorBidi"/>
      <w:i/>
      <w:iCs/>
      <w:color w:val="F79646" w:themeColor="accent6"/>
      <w:sz w:val="22"/>
      <w:szCs w:val="22"/>
      <w14:textFill>
        <w14:solidFill>
          <w14:schemeClr w14:val="accent6"/>
        </w14:solidFill>
      </w14:textFill>
    </w:rPr>
  </w:style>
  <w:style w:type="character" w:customStyle="1" w:styleId="37">
    <w:name w:val="見出し 6 (文字)"/>
    <w:basedOn w:val="20"/>
    <w:link w:val="7"/>
    <w:semiHidden/>
    <w:qFormat/>
    <w:uiPriority w:val="9"/>
    <w:rPr>
      <w:rFonts w:asciiTheme="majorHAnsi" w:hAnsiTheme="majorHAnsi" w:eastAsiaTheme="majorEastAsia" w:cstheme="majorBidi"/>
      <w:color w:val="F79646" w:themeColor="accent6"/>
      <w14:textFill>
        <w14:solidFill>
          <w14:schemeClr w14:val="accent6"/>
        </w14:solidFill>
      </w14:textFill>
    </w:rPr>
  </w:style>
  <w:style w:type="character" w:customStyle="1" w:styleId="38">
    <w:name w:val="見出し 7 (文字)"/>
    <w:basedOn w:val="20"/>
    <w:link w:val="8"/>
    <w:semiHidden/>
    <w:qFormat/>
    <w:uiPriority w:val="9"/>
    <w:rPr>
      <w:rFonts w:asciiTheme="majorHAnsi" w:hAnsiTheme="majorHAnsi" w:eastAsiaTheme="majorEastAsia" w:cstheme="majorBidi"/>
      <w:b/>
      <w:bCs/>
      <w:color w:val="F79646" w:themeColor="accent6"/>
      <w14:textFill>
        <w14:solidFill>
          <w14:schemeClr w14:val="accent6"/>
        </w14:solidFill>
      </w14:textFill>
    </w:rPr>
  </w:style>
  <w:style w:type="character" w:customStyle="1" w:styleId="39">
    <w:name w:val="見出し 8 (文字)"/>
    <w:basedOn w:val="20"/>
    <w:link w:val="9"/>
    <w:semiHidden/>
    <w:qFormat/>
    <w:uiPriority w:val="9"/>
    <w:rPr>
      <w:rFonts w:asciiTheme="majorHAnsi" w:hAnsiTheme="majorHAnsi" w:eastAsiaTheme="majorEastAsia" w:cstheme="majorBidi"/>
      <w:b/>
      <w:bCs/>
      <w:i/>
      <w:iCs/>
      <w:color w:val="F79646" w:themeColor="accent6"/>
      <w:sz w:val="20"/>
      <w:szCs w:val="20"/>
      <w14:textFill>
        <w14:solidFill>
          <w14:schemeClr w14:val="accent6"/>
        </w14:solidFill>
      </w14:textFill>
    </w:rPr>
  </w:style>
  <w:style w:type="character" w:customStyle="1" w:styleId="40">
    <w:name w:val="見出し 9 (文字)"/>
    <w:basedOn w:val="20"/>
    <w:link w:val="10"/>
    <w:semiHidden/>
    <w:qFormat/>
    <w:uiPriority w:val="9"/>
    <w:rPr>
      <w:rFonts w:asciiTheme="majorHAnsi" w:hAnsiTheme="majorHAnsi" w:eastAsiaTheme="majorEastAsia" w:cstheme="majorBidi"/>
      <w:i/>
      <w:iCs/>
      <w:color w:val="F79646" w:themeColor="accent6"/>
      <w:sz w:val="20"/>
      <w:szCs w:val="20"/>
      <w14:textFill>
        <w14:solidFill>
          <w14:schemeClr w14:val="accent6"/>
        </w14:solidFill>
      </w14:textFill>
    </w:rPr>
  </w:style>
  <w:style w:type="paragraph" w:styleId="41">
    <w:name w:val="No Spacing"/>
    <w:qFormat/>
    <w:uiPriority w:val="1"/>
    <w:pPr>
      <w:spacing w:after="0" w:line="240" w:lineRule="auto"/>
    </w:pPr>
    <w:rPr>
      <w:rFonts w:asciiTheme="minorHAnsi" w:hAnsiTheme="minorHAnsi" w:eastAsiaTheme="minorEastAsia" w:cstheme="minorBidi"/>
      <w:sz w:val="21"/>
      <w:szCs w:val="21"/>
      <w:lang w:val="en-US" w:eastAsia="ja-JP" w:bidi="ar-SA"/>
    </w:rPr>
  </w:style>
  <w:style w:type="character" w:customStyle="1" w:styleId="42">
    <w:name w:val="Unresolved Mention"/>
    <w:basedOn w:val="20"/>
    <w:semiHidden/>
    <w:unhideWhenUsed/>
    <w:qFormat/>
    <w:uiPriority w:val="99"/>
    <w:rPr>
      <w:color w:val="605E5C"/>
      <w:shd w:val="clear" w:color="auto" w:fill="E1DFDD"/>
    </w:rPr>
  </w:style>
  <w:style w:type="character" w:customStyle="1" w:styleId="43">
    <w:name w:val="日付 (文字)"/>
    <w:basedOn w:val="20"/>
    <w:link w:val="14"/>
    <w:semiHidden/>
    <w:qFormat/>
    <w:uiPriority w:val="99"/>
  </w:style>
  <w:style w:type="character" w:customStyle="1" w:styleId="44">
    <w:name w:val="表題 (文字)"/>
    <w:basedOn w:val="20"/>
    <w:link w:val="13"/>
    <w:qFormat/>
    <w:uiPriority w:val="10"/>
    <w:rPr>
      <w:rFonts w:asciiTheme="majorHAnsi" w:hAnsiTheme="majorHAnsi" w:eastAsiaTheme="majorEastAsia" w:cstheme="majorBidi"/>
      <w:color w:val="262626" w:themeColor="text1" w:themeTint="D9"/>
      <w:spacing w:val="-15"/>
      <w:sz w:val="96"/>
      <w:szCs w:val="96"/>
      <w14:textFill>
        <w14:solidFill>
          <w14:schemeClr w14:val="tx1">
            <w14:lumMod w14:val="85000"/>
            <w14:lumOff w14:val="15000"/>
          </w14:schemeClr>
        </w14:solidFill>
      </w14:textFill>
    </w:rPr>
  </w:style>
  <w:style w:type="character" w:customStyle="1" w:styleId="45">
    <w:name w:val="副題 (文字)"/>
    <w:basedOn w:val="20"/>
    <w:link w:val="19"/>
    <w:qFormat/>
    <w:uiPriority w:val="11"/>
    <w:rPr>
      <w:rFonts w:asciiTheme="majorHAnsi" w:hAnsiTheme="majorHAnsi" w:eastAsiaTheme="majorEastAsia" w:cstheme="majorBidi"/>
      <w:sz w:val="30"/>
      <w:szCs w:val="30"/>
    </w:rPr>
  </w:style>
  <w:style w:type="paragraph" w:styleId="46">
    <w:name w:val="Quote"/>
    <w:basedOn w:val="1"/>
    <w:next w:val="1"/>
    <w:link w:val="47"/>
    <w:qFormat/>
    <w:uiPriority w:val="29"/>
    <w:pPr>
      <w:spacing w:before="160"/>
      <w:ind w:left="720" w:right="720"/>
      <w:jc w:val="center"/>
    </w:pPr>
    <w:rPr>
      <w:i/>
      <w:iCs/>
      <w:color w:val="262626" w:themeColor="text1" w:themeTint="D9"/>
      <w14:textFill>
        <w14:solidFill>
          <w14:schemeClr w14:val="tx1">
            <w14:lumMod w14:val="85000"/>
            <w14:lumOff w14:val="15000"/>
          </w14:schemeClr>
        </w14:solidFill>
      </w14:textFill>
    </w:rPr>
  </w:style>
  <w:style w:type="character" w:customStyle="1" w:styleId="47">
    <w:name w:val="引用文 (文字)"/>
    <w:basedOn w:val="20"/>
    <w:link w:val="46"/>
    <w:qFormat/>
    <w:uiPriority w:val="29"/>
    <w:rPr>
      <w:i/>
      <w:iCs/>
      <w:color w:val="262626" w:themeColor="text1" w:themeTint="D9"/>
      <w14:textFill>
        <w14:solidFill>
          <w14:schemeClr w14:val="tx1">
            <w14:lumMod w14:val="85000"/>
            <w14:lumOff w14:val="15000"/>
          </w14:schemeClr>
        </w14:solidFill>
      </w14:textFill>
    </w:rPr>
  </w:style>
  <w:style w:type="paragraph" w:styleId="48">
    <w:name w:val="Intense Quote"/>
    <w:basedOn w:val="1"/>
    <w:next w:val="1"/>
    <w:link w:val="49"/>
    <w:qFormat/>
    <w:uiPriority w:val="30"/>
    <w:pPr>
      <w:spacing w:before="160" w:after="160" w:line="264" w:lineRule="auto"/>
      <w:ind w:left="720" w:right="720"/>
      <w:jc w:val="center"/>
    </w:pPr>
    <w:rPr>
      <w:rFonts w:asciiTheme="majorHAnsi" w:hAnsiTheme="majorHAnsi" w:eastAsiaTheme="majorEastAsia" w:cstheme="majorBidi"/>
      <w:i/>
      <w:iCs/>
      <w:color w:val="F79646" w:themeColor="accent6"/>
      <w:sz w:val="32"/>
      <w:szCs w:val="32"/>
      <w14:textFill>
        <w14:solidFill>
          <w14:schemeClr w14:val="accent6"/>
        </w14:solidFill>
      </w14:textFill>
    </w:rPr>
  </w:style>
  <w:style w:type="character" w:customStyle="1" w:styleId="49">
    <w:name w:val="引用文 2 (文字)"/>
    <w:basedOn w:val="20"/>
    <w:link w:val="48"/>
    <w:qFormat/>
    <w:uiPriority w:val="30"/>
    <w:rPr>
      <w:rFonts w:asciiTheme="majorHAnsi" w:hAnsiTheme="majorHAnsi" w:eastAsiaTheme="majorEastAsia" w:cstheme="majorBidi"/>
      <w:i/>
      <w:iCs/>
      <w:color w:val="F79646" w:themeColor="accent6"/>
      <w:sz w:val="32"/>
      <w:szCs w:val="32"/>
      <w14:textFill>
        <w14:solidFill>
          <w14:schemeClr w14:val="accent6"/>
        </w14:solidFill>
      </w14:textFill>
    </w:rPr>
  </w:style>
  <w:style w:type="character" w:customStyle="1" w:styleId="50">
    <w:name w:val="Subtle Emphasis"/>
    <w:basedOn w:val="20"/>
    <w:qFormat/>
    <w:uiPriority w:val="19"/>
    <w:rPr>
      <w:i/>
      <w:iCs/>
    </w:rPr>
  </w:style>
  <w:style w:type="character" w:customStyle="1" w:styleId="51">
    <w:name w:val="Intense Emphasis"/>
    <w:basedOn w:val="20"/>
    <w:qFormat/>
    <w:uiPriority w:val="21"/>
    <w:rPr>
      <w:b/>
      <w:bCs/>
      <w:i/>
      <w:iCs/>
    </w:rPr>
  </w:style>
  <w:style w:type="character" w:customStyle="1" w:styleId="52">
    <w:name w:val="Subtle Reference"/>
    <w:basedOn w:val="2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53">
    <w:name w:val="Intense Reference"/>
    <w:basedOn w:val="20"/>
    <w:qFormat/>
    <w:uiPriority w:val="32"/>
    <w:rPr>
      <w:b/>
      <w:bCs/>
      <w:smallCaps/>
      <w:color w:val="F79646" w:themeColor="accent6"/>
      <w14:textFill>
        <w14:solidFill>
          <w14:schemeClr w14:val="accent6"/>
        </w14:solidFill>
      </w14:textFill>
    </w:rPr>
  </w:style>
  <w:style w:type="character" w:customStyle="1" w:styleId="54">
    <w:name w:val="Book Title"/>
    <w:basedOn w:val="20"/>
    <w:qFormat/>
    <w:uiPriority w:val="33"/>
    <w:rPr>
      <w:b/>
      <w:bCs/>
      <w:smallCaps/>
      <w:spacing w:val="7"/>
      <w:sz w:val="21"/>
      <w:szCs w:val="21"/>
    </w:rPr>
  </w:style>
  <w:style w:type="paragraph" w:customStyle="1" w:styleId="55">
    <w:name w:val="TOC Heading"/>
    <w:basedOn w:val="2"/>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209A22-66DC-4F5E-B895-3AE8291C2FC3}">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1675</Words>
  <Characters>9552</Characters>
  <Lines>79</Lines>
  <Paragraphs>22</Paragraphs>
  <TotalTime>2</TotalTime>
  <ScaleCrop>false</ScaleCrop>
  <LinksUpToDate>false</LinksUpToDate>
  <CharactersWithSpaces>11205</CharactersWithSpaces>
  <Application>WPS Office_10.8.2.6709_F1E327BC-269C-435d-A152-05C5408002CA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2024-04-23T00:08:00Z</dcterms:created>
  <dc:creator>chanter-yachiyo</dc:creator>
  <cp:lastModifiedBy>ProTech Service</cp:lastModifiedBy>
  <cp:lastPrinted>2024-04-23T01:06:00Z</cp:lastPrinted>
  <dcterms:modified xsi:type="dcterms:W3CDTF">2024-06-18T01:55:58Z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1041-10.8.2.6709</vt:lpwstr>
  </property>
</Properties>
</file>